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3313" w:tblpY="189"/>
        <w:tblW w:w="0" w:type="auto"/>
        <w:tblCellMar>
          <w:left w:w="10" w:type="dxa"/>
          <w:right w:w="10" w:type="dxa"/>
        </w:tblCellMar>
        <w:tblLook w:val="0000"/>
      </w:tblPr>
      <w:tblGrid>
        <w:gridCol w:w="3761"/>
        <w:gridCol w:w="4087"/>
      </w:tblGrid>
      <w:tr w:rsidR="00D6734B" w:rsidTr="00D6734B">
        <w:trPr>
          <w:trHeight w:val="1924"/>
        </w:trPr>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34B" w:rsidRDefault="00D6734B" w:rsidP="00D6734B">
            <w:pPr>
              <w:keepNext/>
              <w:keepLines/>
              <w:suppressAutoHyphens/>
              <w:spacing w:before="200" w:after="0" w:line="240" w:lineRule="auto"/>
              <w:rPr>
                <w:rFonts w:ascii="Cambria" w:eastAsia="Cambria" w:hAnsi="Cambria" w:cs="Cambria"/>
                <w:b/>
                <w:color w:val="000000"/>
                <w:sz w:val="26"/>
              </w:rPr>
            </w:pPr>
            <w:r>
              <w:rPr>
                <w:rFonts w:ascii="Cambria" w:eastAsia="Cambria" w:hAnsi="Cambria" w:cs="Cambria"/>
                <w:b/>
                <w:color w:val="000000"/>
                <w:sz w:val="26"/>
              </w:rPr>
              <w:t xml:space="preserve">        JAVNO PREDUZEĆE</w:t>
            </w:r>
          </w:p>
          <w:p w:rsidR="00D6734B" w:rsidRDefault="00D6734B" w:rsidP="00D6734B">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ŠUMSKO  PRIVREDNO DRUŠTVO</w:t>
            </w:r>
          </w:p>
          <w:p w:rsidR="00D6734B" w:rsidRDefault="00D6734B" w:rsidP="00D6734B">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ZENIČKO – DOBOJSKOG KANTONA</w:t>
            </w:r>
          </w:p>
          <w:p w:rsidR="00D6734B" w:rsidRDefault="00D6734B" w:rsidP="00D6734B">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d.o.o. ZAVIDOVIĆI ________________________________</w:t>
            </w:r>
          </w:p>
          <w:p w:rsidR="00D6734B" w:rsidRDefault="00D6734B" w:rsidP="00D6734B">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AlijeIzetbegovića br. 25</w:t>
            </w:r>
          </w:p>
          <w:p w:rsidR="00D6734B" w:rsidRDefault="00D6734B" w:rsidP="00D6734B">
            <w:pPr>
              <w:suppressAutoHyphens/>
              <w:spacing w:after="0" w:line="240" w:lineRule="auto"/>
              <w:jc w:val="center"/>
            </w:pPr>
            <w:r>
              <w:rPr>
                <w:rFonts w:ascii="Times New Roman" w:eastAsia="Times New Roman" w:hAnsi="Times New Roman" w:cs="Times New Roman"/>
              </w:rPr>
              <w:t>Tel. 032 877 834; Fax  032 879 029</w:t>
            </w:r>
          </w:p>
        </w:tc>
        <w:tc>
          <w:tcPr>
            <w:tcW w:w="4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34B" w:rsidRDefault="00D6734B" w:rsidP="00D6734B">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Upisano u RegistarKantonalnogsuda u Zenici pod brojem: I-9014, Rješenje  br. U/I  916/04</w:t>
            </w:r>
          </w:p>
          <w:p w:rsidR="00D6734B" w:rsidRDefault="00D6734B" w:rsidP="00D6734B">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ID br.:        4218431050005</w:t>
            </w:r>
          </w:p>
          <w:p w:rsidR="00D6734B" w:rsidRDefault="00D6734B" w:rsidP="00D6734B">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PDV b.r:    218431050005     Por. br.:05072148</w:t>
            </w:r>
          </w:p>
          <w:p w:rsidR="00D6734B" w:rsidRDefault="00D6734B" w:rsidP="00D6734B">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Transakcijskiračuni:</w:t>
            </w:r>
          </w:p>
          <w:p w:rsidR="00D6734B" w:rsidRDefault="00D6734B" w:rsidP="00D6734B">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Union bankad.d. Sarajevo   1020320000013296</w:t>
            </w:r>
          </w:p>
          <w:p w:rsidR="00D6734B" w:rsidRDefault="00D6734B" w:rsidP="00D6734B">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IK bankad.d. Zenica            1340300000062287</w:t>
            </w:r>
          </w:p>
          <w:p w:rsidR="00D6734B" w:rsidRDefault="00D6734B" w:rsidP="00D6734B">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UniCreditbankaMostar       3384202214508407</w:t>
            </w:r>
          </w:p>
          <w:p w:rsidR="00D6734B" w:rsidRDefault="00D6734B" w:rsidP="00D6734B">
            <w:pPr>
              <w:suppressAutoHyphens/>
              <w:spacing w:after="0" w:line="240" w:lineRule="auto"/>
            </w:pPr>
            <w:r>
              <w:rPr>
                <w:rFonts w:ascii="Times New Roman" w:eastAsia="Times New Roman" w:hAnsi="Times New Roman" w:cs="Times New Roman"/>
                <w:sz w:val="18"/>
              </w:rPr>
              <w:t>Raiffeisenbanka Sarajevo    1610550016400016</w:t>
            </w:r>
          </w:p>
        </w:tc>
      </w:tr>
    </w:tbl>
    <w:p w:rsidR="009C7107" w:rsidRDefault="009C7107">
      <w:pPr>
        <w:suppressAutoHyphens/>
        <w:spacing w:after="0" w:line="240" w:lineRule="auto"/>
        <w:rPr>
          <w:rFonts w:ascii="Times New Roman" w:eastAsia="Times New Roman" w:hAnsi="Times New Roman" w:cs="Times New Roman"/>
          <w:sz w:val="28"/>
        </w:rPr>
      </w:pPr>
    </w:p>
    <w:p w:rsidR="009C7107" w:rsidRDefault="009C7107">
      <w:pPr>
        <w:suppressAutoHyphens/>
        <w:spacing w:after="0" w:line="240" w:lineRule="auto"/>
        <w:rPr>
          <w:rFonts w:ascii="Times New Roman" w:eastAsia="Times New Roman" w:hAnsi="Times New Roman" w:cs="Times New Roman"/>
          <w:b/>
        </w:rPr>
      </w:pPr>
      <w:r>
        <w:object w:dxaOrig="1771" w:dyaOrig="1785">
          <v:rect id="rectole0000000000" o:spid="_x0000_i1025" style="width:88.5pt;height:89.25pt" o:ole="" o:preferrelative="t" stroked="f">
            <v:imagedata r:id="rId5" o:title=""/>
          </v:rect>
          <o:OLEObject Type="Embed" ProgID="StaticMetafile" ShapeID="rectole0000000000" DrawAspect="Content" ObjectID="_1600839299" r:id="rId6"/>
        </w:object>
      </w:r>
    </w:p>
    <w:p w:rsidR="009C7107" w:rsidRDefault="009C7107">
      <w:pPr>
        <w:suppressAutoHyphens/>
        <w:spacing w:after="0" w:line="240" w:lineRule="auto"/>
        <w:rPr>
          <w:rFonts w:ascii="Times New Roman" w:eastAsia="Times New Roman" w:hAnsi="Times New Roman" w:cs="Times New Roman"/>
          <w:b/>
          <w:sz w:val="24"/>
        </w:rPr>
      </w:pPr>
    </w:p>
    <w:p w:rsidR="009C7107" w:rsidRDefault="009C7107">
      <w:pPr>
        <w:suppressAutoHyphens/>
        <w:spacing w:after="0" w:line="240" w:lineRule="auto"/>
        <w:rPr>
          <w:rFonts w:ascii="Times New Roman" w:eastAsia="Times New Roman" w:hAnsi="Times New Roman" w:cs="Times New Roman"/>
          <w:b/>
          <w:sz w:val="24"/>
        </w:rPr>
      </w:pPr>
    </w:p>
    <w:p w:rsidR="009C7107" w:rsidRDefault="003611F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Broj</w:t>
      </w:r>
      <w:r>
        <w:rPr>
          <w:rFonts w:ascii="Times New Roman" w:eastAsia="Times New Roman" w:hAnsi="Times New Roman" w:cs="Times New Roman"/>
          <w:sz w:val="24"/>
        </w:rPr>
        <w:t xml:space="preserve">: </w:t>
      </w:r>
      <w:r>
        <w:rPr>
          <w:rFonts w:ascii="Times New Roman" w:eastAsia="Times New Roman" w:hAnsi="Times New Roman" w:cs="Times New Roman"/>
          <w:b/>
          <w:sz w:val="24"/>
        </w:rPr>
        <w:t>03-</w:t>
      </w:r>
      <w:r w:rsidR="00226560">
        <w:rPr>
          <w:rFonts w:ascii="Times New Roman" w:eastAsia="Times New Roman" w:hAnsi="Times New Roman" w:cs="Times New Roman"/>
          <w:b/>
          <w:sz w:val="24"/>
        </w:rPr>
        <w:t>4540</w:t>
      </w:r>
      <w:r>
        <w:rPr>
          <w:rFonts w:ascii="Times New Roman" w:eastAsia="Times New Roman" w:hAnsi="Times New Roman" w:cs="Times New Roman"/>
          <w:b/>
          <w:sz w:val="24"/>
        </w:rPr>
        <w:t>-</w:t>
      </w:r>
      <w:r w:rsidR="00894B81">
        <w:rPr>
          <w:rFonts w:ascii="Times New Roman" w:eastAsia="Times New Roman" w:hAnsi="Times New Roman" w:cs="Times New Roman"/>
          <w:b/>
          <w:sz w:val="24"/>
        </w:rPr>
        <w:t>1</w:t>
      </w:r>
      <w:r>
        <w:rPr>
          <w:rFonts w:ascii="Times New Roman" w:eastAsia="Times New Roman" w:hAnsi="Times New Roman" w:cs="Times New Roman"/>
          <w:b/>
          <w:sz w:val="24"/>
        </w:rPr>
        <w:t>/18</w:t>
      </w:r>
    </w:p>
    <w:p w:rsidR="009C7107" w:rsidRDefault="003611FA">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Dana, </w:t>
      </w:r>
      <w:r w:rsidR="00226560">
        <w:rPr>
          <w:rFonts w:ascii="Times New Roman" w:eastAsia="Times New Roman" w:hAnsi="Times New Roman" w:cs="Times New Roman"/>
          <w:b/>
          <w:sz w:val="24"/>
        </w:rPr>
        <w:t>12</w:t>
      </w:r>
      <w:r>
        <w:rPr>
          <w:rFonts w:ascii="Times New Roman" w:eastAsia="Times New Roman" w:hAnsi="Times New Roman" w:cs="Times New Roman"/>
          <w:b/>
          <w:sz w:val="24"/>
        </w:rPr>
        <w:t>.</w:t>
      </w:r>
      <w:r w:rsidR="00226560">
        <w:rPr>
          <w:rFonts w:ascii="Times New Roman" w:eastAsia="Times New Roman" w:hAnsi="Times New Roman" w:cs="Times New Roman"/>
          <w:b/>
          <w:sz w:val="24"/>
        </w:rPr>
        <w:t>10</w:t>
      </w:r>
      <w:r>
        <w:rPr>
          <w:rFonts w:ascii="Times New Roman" w:eastAsia="Times New Roman" w:hAnsi="Times New Roman" w:cs="Times New Roman"/>
          <w:b/>
          <w:sz w:val="24"/>
        </w:rPr>
        <w:t>.2018.godine</w:t>
      </w: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3611FA">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rPr>
        <w:t xml:space="preserve">J  A  V  N  O      N  A  D   M  E  T  A  NJ   E      br. </w:t>
      </w:r>
      <w:r w:rsidR="00226560">
        <w:rPr>
          <w:rFonts w:ascii="Times New Roman" w:eastAsia="Times New Roman" w:hAnsi="Times New Roman" w:cs="Times New Roman"/>
          <w:b/>
          <w:sz w:val="24"/>
        </w:rPr>
        <w:t>21</w:t>
      </w:r>
      <w:r>
        <w:rPr>
          <w:rFonts w:ascii="Times New Roman" w:eastAsia="Times New Roman" w:hAnsi="Times New Roman" w:cs="Times New Roman"/>
          <w:b/>
          <w:sz w:val="24"/>
        </w:rPr>
        <w:t>– PL/18</w:t>
      </w:r>
    </w:p>
    <w:p w:rsidR="009C7107" w:rsidRDefault="009C7107">
      <w:pPr>
        <w:suppressAutoHyphens/>
        <w:spacing w:after="0" w:line="240" w:lineRule="auto"/>
        <w:jc w:val="center"/>
        <w:rPr>
          <w:rFonts w:ascii="Times New Roman" w:eastAsia="Times New Roman" w:hAnsi="Times New Roman" w:cs="Times New Roman"/>
          <w:b/>
          <w:sz w:val="28"/>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rPr>
          <w:rFonts w:ascii="Times New Roman" w:eastAsia="Times New Roman" w:hAnsi="Times New Roman" w:cs="Times New Roman"/>
          <w:b/>
          <w:sz w:val="24"/>
        </w:rPr>
      </w:pPr>
    </w:p>
    <w:p w:rsidR="009C7107" w:rsidRDefault="009C7107">
      <w:pPr>
        <w:suppressAutoHyphens/>
        <w:spacing w:after="0" w:line="240" w:lineRule="auto"/>
        <w:rPr>
          <w:rFonts w:ascii="Times New Roman" w:eastAsia="Times New Roman" w:hAnsi="Times New Roman" w:cs="Times New Roman"/>
          <w:b/>
          <w:sz w:val="24"/>
        </w:rPr>
      </w:pPr>
    </w:p>
    <w:p w:rsidR="009C7107" w:rsidRDefault="009C7107">
      <w:pPr>
        <w:suppressAutoHyphens/>
        <w:spacing w:after="0" w:line="240" w:lineRule="auto"/>
        <w:rPr>
          <w:rFonts w:ascii="Times New Roman" w:eastAsia="Times New Roman" w:hAnsi="Times New Roman" w:cs="Times New Roman"/>
          <w:b/>
          <w:sz w:val="24"/>
        </w:rPr>
      </w:pPr>
    </w:p>
    <w:p w:rsidR="009C7107" w:rsidRDefault="009C7107">
      <w:pPr>
        <w:suppressAutoHyphens/>
        <w:spacing w:after="0" w:line="240" w:lineRule="auto"/>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jc w:val="center"/>
        <w:rPr>
          <w:rFonts w:ascii="Times New Roman" w:eastAsia="Times New Roman" w:hAnsi="Times New Roman" w:cs="Times New Roman"/>
          <w:b/>
          <w:sz w:val="24"/>
        </w:rPr>
      </w:pPr>
    </w:p>
    <w:p w:rsidR="009C7107" w:rsidRDefault="009C7107">
      <w:pPr>
        <w:suppressAutoHyphens/>
        <w:spacing w:after="0" w:line="240" w:lineRule="auto"/>
        <w:rPr>
          <w:rFonts w:ascii="Times New Roman" w:eastAsia="Times New Roman" w:hAnsi="Times New Roman" w:cs="Times New Roman"/>
          <w:b/>
          <w:sz w:val="24"/>
        </w:rPr>
      </w:pPr>
    </w:p>
    <w:p w:rsidR="009C7107" w:rsidRDefault="003611F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DOKUMENTACIJA ZA JAVNO NADMETANJE</w:t>
      </w:r>
    </w:p>
    <w:p w:rsidR="009C7107" w:rsidRDefault="00226560">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Oktobar</w:t>
      </w:r>
      <w:r w:rsidR="003611FA">
        <w:rPr>
          <w:rFonts w:ascii="Times New Roman" w:eastAsia="Times New Roman" w:hAnsi="Times New Roman" w:cs="Times New Roman"/>
          <w:b/>
          <w:sz w:val="24"/>
        </w:rPr>
        <w:t>,  2018. godine</w:t>
      </w:r>
    </w:p>
    <w:p w:rsidR="009C7107" w:rsidRDefault="003611F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Na osnovu Odluke direktora o raspisivanju Javnog nadmetanja br 03-</w:t>
      </w:r>
      <w:r w:rsidR="00226560">
        <w:rPr>
          <w:rFonts w:ascii="Times New Roman" w:eastAsia="Times New Roman" w:hAnsi="Times New Roman" w:cs="Times New Roman"/>
          <w:sz w:val="24"/>
        </w:rPr>
        <w:t>4540</w:t>
      </w:r>
      <w:r>
        <w:rPr>
          <w:rFonts w:ascii="Times New Roman" w:eastAsia="Times New Roman" w:hAnsi="Times New Roman" w:cs="Times New Roman"/>
          <w:sz w:val="24"/>
        </w:rPr>
        <w:t xml:space="preserve"> od  </w:t>
      </w:r>
      <w:r w:rsidR="00226560">
        <w:rPr>
          <w:rFonts w:ascii="Times New Roman" w:eastAsia="Times New Roman" w:hAnsi="Times New Roman" w:cs="Times New Roman"/>
          <w:sz w:val="24"/>
        </w:rPr>
        <w:t>12</w:t>
      </w:r>
      <w:r>
        <w:rPr>
          <w:rFonts w:ascii="Times New Roman" w:eastAsia="Times New Roman" w:hAnsi="Times New Roman" w:cs="Times New Roman"/>
          <w:sz w:val="24"/>
        </w:rPr>
        <w:t>.</w:t>
      </w:r>
      <w:r w:rsidR="00226560">
        <w:rPr>
          <w:rFonts w:ascii="Times New Roman" w:eastAsia="Times New Roman" w:hAnsi="Times New Roman" w:cs="Times New Roman"/>
          <w:sz w:val="24"/>
        </w:rPr>
        <w:t>10</w:t>
      </w:r>
      <w:r>
        <w:rPr>
          <w:rFonts w:ascii="Times New Roman" w:eastAsia="Times New Roman" w:hAnsi="Times New Roman" w:cs="Times New Roman"/>
          <w:sz w:val="24"/>
        </w:rPr>
        <w:t>.2018.raspisuje se:</w:t>
      </w:r>
    </w:p>
    <w:p w:rsidR="009C7107" w:rsidRDefault="009C7107">
      <w:pPr>
        <w:suppressAutoHyphens/>
        <w:spacing w:after="0" w:line="240" w:lineRule="auto"/>
        <w:rPr>
          <w:rFonts w:ascii="Times New Roman" w:eastAsia="Times New Roman" w:hAnsi="Times New Roman" w:cs="Times New Roman"/>
          <w:sz w:val="24"/>
        </w:rPr>
      </w:pPr>
    </w:p>
    <w:p w:rsidR="009C7107" w:rsidRDefault="009C7107">
      <w:pPr>
        <w:suppressAutoHyphens/>
        <w:spacing w:after="0" w:line="240" w:lineRule="auto"/>
        <w:jc w:val="both"/>
        <w:rPr>
          <w:rFonts w:ascii="Times New Roman" w:eastAsia="Times New Roman" w:hAnsi="Times New Roman" w:cs="Times New Roman"/>
          <w:sz w:val="24"/>
        </w:rPr>
      </w:pPr>
    </w:p>
    <w:p w:rsidR="009C7107" w:rsidRDefault="003611F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J A V N O    N A D M E T A NJ E  br </w:t>
      </w:r>
      <w:r w:rsidR="00226560">
        <w:rPr>
          <w:rFonts w:ascii="Times New Roman" w:eastAsia="Times New Roman" w:hAnsi="Times New Roman" w:cs="Times New Roman"/>
          <w:b/>
          <w:sz w:val="24"/>
        </w:rPr>
        <w:t>21</w:t>
      </w:r>
      <w:r>
        <w:rPr>
          <w:rFonts w:ascii="Times New Roman" w:eastAsia="Times New Roman" w:hAnsi="Times New Roman" w:cs="Times New Roman"/>
          <w:b/>
          <w:sz w:val="24"/>
        </w:rPr>
        <w:t>–PL/18</w:t>
      </w:r>
    </w:p>
    <w:p w:rsidR="009C7107" w:rsidRDefault="009C7107">
      <w:pPr>
        <w:suppressAutoHyphens/>
        <w:spacing w:after="0" w:line="240" w:lineRule="auto"/>
        <w:jc w:val="center"/>
        <w:rPr>
          <w:rFonts w:ascii="Times New Roman" w:eastAsia="Times New Roman" w:hAnsi="Times New Roman" w:cs="Times New Roman"/>
          <w:b/>
          <w:sz w:val="24"/>
        </w:rPr>
      </w:pPr>
    </w:p>
    <w:p w:rsidR="002101C1" w:rsidRDefault="002101C1" w:rsidP="002101C1">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611FA">
        <w:rPr>
          <w:rFonts w:ascii="Times New Roman" w:eastAsia="Times New Roman" w:hAnsi="Times New Roman" w:cs="Times New Roman"/>
          <w:b/>
          <w:sz w:val="24"/>
        </w:rPr>
        <w:t xml:space="preserve">( </w:t>
      </w:r>
      <w:r w:rsidR="003611FA">
        <w:rPr>
          <w:rFonts w:ascii="Times New Roman" w:eastAsia="Times New Roman" w:hAnsi="Times New Roman" w:cs="Times New Roman"/>
          <w:sz w:val="24"/>
        </w:rPr>
        <w:t xml:space="preserve">Prodaja drvnih sortimenata </w:t>
      </w:r>
      <w:r w:rsidR="003611FA" w:rsidRPr="002101C1">
        <w:rPr>
          <w:rFonts w:ascii="Times New Roman" w:eastAsia="Times New Roman" w:hAnsi="Times New Roman" w:cs="Times New Roman"/>
          <w:b/>
          <w:sz w:val="24"/>
        </w:rPr>
        <w:t>bukve</w:t>
      </w:r>
      <w:r w:rsidR="003611FA">
        <w:rPr>
          <w:rFonts w:ascii="Times New Roman" w:eastAsia="Times New Roman" w:hAnsi="Times New Roman" w:cs="Times New Roman"/>
          <w:b/>
          <w:sz w:val="24"/>
        </w:rPr>
        <w:t xml:space="preserve"> </w:t>
      </w:r>
      <w:r>
        <w:rPr>
          <w:rFonts w:ascii="Times New Roman" w:eastAsia="Times New Roman" w:hAnsi="Times New Roman" w:cs="Times New Roman"/>
          <w:b/>
          <w:sz w:val="24"/>
        </w:rPr>
        <w:t>i hrasta</w:t>
      </w:r>
      <w:r w:rsidR="003611FA">
        <w:rPr>
          <w:rFonts w:ascii="Times New Roman" w:eastAsia="Times New Roman" w:hAnsi="Times New Roman" w:cs="Times New Roman"/>
          <w:b/>
          <w:sz w:val="24"/>
        </w:rPr>
        <w:t>„</w:t>
      </w:r>
      <w:r w:rsidR="003611FA">
        <w:rPr>
          <w:rFonts w:ascii="Times New Roman" w:eastAsia="Times New Roman" w:hAnsi="Times New Roman" w:cs="Times New Roman"/>
          <w:sz w:val="24"/>
        </w:rPr>
        <w:t>na paritetu tvrdi put</w:t>
      </w:r>
      <w:r>
        <w:rPr>
          <w:rFonts w:ascii="Times New Roman" w:eastAsia="Times New Roman" w:hAnsi="Times New Roman" w:cs="Times New Roman"/>
          <w:sz w:val="24"/>
        </w:rPr>
        <w:t>“)</w:t>
      </w:r>
    </w:p>
    <w:p w:rsidR="009C7107" w:rsidRDefault="009C7107" w:rsidP="002101C1">
      <w:pPr>
        <w:suppressAutoHyphens/>
        <w:spacing w:after="0" w:line="240" w:lineRule="auto"/>
        <w:jc w:val="both"/>
        <w:rPr>
          <w:rFonts w:ascii="Times New Roman" w:eastAsia="Times New Roman" w:hAnsi="Times New Roman" w:cs="Times New Roman"/>
          <w:b/>
          <w:sz w:val="24"/>
        </w:rPr>
      </w:pPr>
    </w:p>
    <w:p w:rsidR="009C7107" w:rsidRDefault="009C7107">
      <w:pPr>
        <w:suppressAutoHyphens/>
        <w:spacing w:after="0" w:line="240" w:lineRule="auto"/>
        <w:rPr>
          <w:rFonts w:ascii="Times New Roman" w:eastAsia="Times New Roman" w:hAnsi="Times New Roman" w:cs="Times New Roman"/>
          <w:sz w:val="24"/>
        </w:rPr>
      </w:pPr>
    </w:p>
    <w:p w:rsidR="009C7107" w:rsidRDefault="003611F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PREDMET OGLASA:</w:t>
      </w:r>
    </w:p>
    <w:p w:rsidR="009C7107" w:rsidRDefault="003611F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Raspisuje se Javno nadmetanje za prikupljanje pismenih ponuda:</w:t>
      </w:r>
    </w:p>
    <w:p w:rsidR="009C7107" w:rsidRDefault="003611FA">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Prodaja drvnih sortimenata  </w:t>
      </w:r>
      <w:r>
        <w:rPr>
          <w:rFonts w:ascii="Times New Roman" w:eastAsia="Times New Roman" w:hAnsi="Times New Roman" w:cs="Times New Roman"/>
          <w:b/>
          <w:sz w:val="24"/>
        </w:rPr>
        <w:t>bukve</w:t>
      </w:r>
      <w:r w:rsidR="002101C1">
        <w:rPr>
          <w:rFonts w:ascii="Times New Roman" w:eastAsia="Times New Roman" w:hAnsi="Times New Roman" w:cs="Times New Roman"/>
          <w:b/>
          <w:sz w:val="24"/>
        </w:rPr>
        <w:t xml:space="preserve"> i hrasta</w:t>
      </w:r>
      <w:r>
        <w:rPr>
          <w:rFonts w:ascii="Times New Roman" w:eastAsia="Times New Roman" w:hAnsi="Times New Roman" w:cs="Times New Roman"/>
          <w:sz w:val="24"/>
        </w:rPr>
        <w:t>“na paritetu tvrdi put”</w:t>
      </w:r>
      <w:r w:rsidR="002101C1">
        <w:rPr>
          <w:rFonts w:ascii="Times New Roman" w:eastAsia="Times New Roman" w:hAnsi="Times New Roman" w:cs="Times New Roman"/>
          <w:sz w:val="24"/>
        </w:rPr>
        <w:t>:bukve</w:t>
      </w:r>
      <w:r>
        <w:rPr>
          <w:rFonts w:ascii="Times New Roman" w:eastAsia="Times New Roman" w:hAnsi="Times New Roman" w:cs="Times New Roman"/>
          <w:sz w:val="24"/>
        </w:rPr>
        <w:t xml:space="preserve"> na području </w:t>
      </w:r>
      <w:r>
        <w:rPr>
          <w:rFonts w:ascii="Times New Roman" w:eastAsia="Times New Roman" w:hAnsi="Times New Roman" w:cs="Times New Roman"/>
          <w:b/>
          <w:sz w:val="24"/>
        </w:rPr>
        <w:t xml:space="preserve">“Šumarija </w:t>
      </w:r>
      <w:r w:rsidR="00226560">
        <w:rPr>
          <w:rFonts w:ascii="Times New Roman" w:eastAsia="Times New Roman" w:hAnsi="Times New Roman" w:cs="Times New Roman"/>
          <w:b/>
          <w:sz w:val="24"/>
        </w:rPr>
        <w:t>Kakanj</w:t>
      </w:r>
      <w:r w:rsidR="00D6734B">
        <w:rPr>
          <w:rFonts w:ascii="Times New Roman" w:eastAsia="Times New Roman" w:hAnsi="Times New Roman" w:cs="Times New Roman"/>
          <w:b/>
          <w:sz w:val="24"/>
        </w:rPr>
        <w:t>-</w:t>
      </w:r>
      <w:r>
        <w:rPr>
          <w:rFonts w:ascii="Times New Roman" w:eastAsia="Times New Roman" w:hAnsi="Times New Roman" w:cs="Times New Roman"/>
          <w:b/>
          <w:sz w:val="24"/>
        </w:rPr>
        <w:t xml:space="preserve">LOT 1, </w:t>
      </w:r>
      <w:r w:rsidR="00226560">
        <w:rPr>
          <w:rFonts w:ascii="Times New Roman" w:eastAsia="Times New Roman" w:hAnsi="Times New Roman" w:cs="Times New Roman"/>
          <w:b/>
          <w:sz w:val="24"/>
        </w:rPr>
        <w:t>Vareš</w:t>
      </w:r>
      <w:r>
        <w:rPr>
          <w:rFonts w:ascii="Times New Roman" w:eastAsia="Times New Roman" w:hAnsi="Times New Roman" w:cs="Times New Roman"/>
          <w:b/>
          <w:sz w:val="24"/>
        </w:rPr>
        <w:t xml:space="preserve"> LOT-2</w:t>
      </w:r>
      <w:r w:rsidR="00226560">
        <w:rPr>
          <w:rFonts w:ascii="Times New Roman" w:eastAsia="Times New Roman" w:hAnsi="Times New Roman" w:cs="Times New Roman"/>
          <w:b/>
          <w:sz w:val="24"/>
        </w:rPr>
        <w:t xml:space="preserve">, </w:t>
      </w:r>
      <w:r w:rsidR="00BF24B5">
        <w:rPr>
          <w:rFonts w:ascii="Times New Roman" w:eastAsia="Times New Roman" w:hAnsi="Times New Roman" w:cs="Times New Roman"/>
          <w:b/>
          <w:sz w:val="24"/>
        </w:rPr>
        <w:t xml:space="preserve"> </w:t>
      </w:r>
      <w:r w:rsidR="00226560">
        <w:rPr>
          <w:rFonts w:ascii="Times New Roman" w:eastAsia="Times New Roman" w:hAnsi="Times New Roman" w:cs="Times New Roman"/>
          <w:b/>
          <w:sz w:val="24"/>
        </w:rPr>
        <w:t xml:space="preserve">Tešanj LOT-3 </w:t>
      </w:r>
      <w:r w:rsidR="00BF24B5">
        <w:rPr>
          <w:rFonts w:ascii="Times New Roman" w:eastAsia="Times New Roman" w:hAnsi="Times New Roman" w:cs="Times New Roman"/>
          <w:b/>
          <w:sz w:val="24"/>
        </w:rPr>
        <w:t>i hrasta na području JP“ŠPD ZDK“ d.o.o. Zavidovići LOT-</w:t>
      </w:r>
      <w:r w:rsidR="00226560">
        <w:rPr>
          <w:rFonts w:ascii="Times New Roman" w:eastAsia="Times New Roman" w:hAnsi="Times New Roman" w:cs="Times New Roman"/>
          <w:b/>
          <w:sz w:val="24"/>
        </w:rPr>
        <w:t>4</w:t>
      </w:r>
      <w:r>
        <w:rPr>
          <w:rFonts w:ascii="Times New Roman" w:eastAsia="Times New Roman" w:hAnsi="Times New Roman" w:cs="Times New Roman"/>
          <w:b/>
          <w:sz w:val="24"/>
        </w:rPr>
        <w:t>.</w:t>
      </w:r>
    </w:p>
    <w:p w:rsidR="009C7107" w:rsidRDefault="003611FA">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Ob</w:t>
      </w:r>
      <w:r>
        <w:rPr>
          <w:rFonts w:ascii="Times New Roman" w:eastAsia="Times New Roman" w:hAnsi="Times New Roman" w:cs="Times New Roman"/>
          <w:b/>
          <w:i/>
          <w:sz w:val="24"/>
        </w:rPr>
        <w:t xml:space="preserve">avezno je apliciratina na cijeli LOT, parcijalne ponude će biti odbijene. </w:t>
      </w:r>
    </w:p>
    <w:p w:rsidR="009C7107" w:rsidRDefault="009C7107">
      <w:pPr>
        <w:tabs>
          <w:tab w:val="right" w:leader="dot" w:pos="7371"/>
        </w:tabs>
        <w:suppressAutoHyphens/>
        <w:spacing w:after="0" w:line="240" w:lineRule="auto"/>
        <w:jc w:val="both"/>
        <w:rPr>
          <w:rFonts w:ascii="Times New Roman" w:eastAsia="Times New Roman" w:hAnsi="Times New Roman" w:cs="Times New Roman"/>
          <w:b/>
          <w:sz w:val="24"/>
        </w:rPr>
      </w:pPr>
    </w:p>
    <w:p w:rsidR="009C7107" w:rsidRDefault="003611F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NAPOMENA:</w:t>
      </w:r>
      <w:r>
        <w:rPr>
          <w:rFonts w:ascii="Times New Roman" w:eastAsia="Times New Roman" w:hAnsi="Times New Roman" w:cs="Times New Roman"/>
          <w:sz w:val="24"/>
        </w:rPr>
        <w:t xml:space="preserve"> Dokumentacija sa svim neophodnim informacijama za Javno nadmetanje broj            </w:t>
      </w:r>
      <w:r w:rsidR="00226560">
        <w:rPr>
          <w:rFonts w:ascii="Times New Roman" w:eastAsia="Times New Roman" w:hAnsi="Times New Roman" w:cs="Times New Roman"/>
          <w:sz w:val="24"/>
        </w:rPr>
        <w:t>21</w:t>
      </w:r>
      <w:r>
        <w:rPr>
          <w:rFonts w:ascii="Times New Roman" w:eastAsia="Times New Roman" w:hAnsi="Times New Roman" w:cs="Times New Roman"/>
          <w:sz w:val="24"/>
        </w:rPr>
        <w:t>– PL/18 može se dobiti u prostorijama JP ''ŠPD ZDK'' d.o.o. Zavidovići .</w:t>
      </w:r>
    </w:p>
    <w:p w:rsidR="009C7107" w:rsidRDefault="003611F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informacije obratiti se na brojeve telefona 032/ 877-834, 032/877-753</w:t>
      </w:r>
    </w:p>
    <w:p w:rsidR="009C7107" w:rsidRDefault="009C7107">
      <w:pPr>
        <w:suppressAutoHyphens/>
        <w:spacing w:after="0" w:line="240" w:lineRule="auto"/>
        <w:jc w:val="both"/>
        <w:rPr>
          <w:rFonts w:ascii="Times New Roman" w:eastAsia="Times New Roman" w:hAnsi="Times New Roman" w:cs="Times New Roman"/>
          <w:sz w:val="24"/>
        </w:rPr>
      </w:pPr>
    </w:p>
    <w:p w:rsidR="009C7107" w:rsidRDefault="003611F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Pravo učešća imaju sva pravna lica. </w:t>
      </w:r>
    </w:p>
    <w:p w:rsidR="009C7107" w:rsidRDefault="003611FA">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Uvjeti koje moraju ispunjavati ponuđači i dokaze koje dostavljaju u ponudi :</w:t>
      </w:r>
    </w:p>
    <w:p w:rsidR="009C7107" w:rsidRDefault="003611FA">
      <w:pPr>
        <w:numPr>
          <w:ilvl w:val="0"/>
          <w:numId w:val="1"/>
        </w:numPr>
        <w:tabs>
          <w:tab w:val="left" w:pos="786"/>
        </w:tabs>
        <w:spacing w:after="0" w:line="240" w:lineRule="auto"/>
        <w:ind w:left="786"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Cjenovni obrazac ponude (mora biti potpisan i popečaćen)</w:t>
      </w:r>
    </w:p>
    <w:p w:rsidR="009C7107" w:rsidRDefault="003611FA">
      <w:pPr>
        <w:numPr>
          <w:ilvl w:val="0"/>
          <w:numId w:val="1"/>
        </w:numPr>
        <w:tabs>
          <w:tab w:val="left" w:pos="786"/>
        </w:tabs>
        <w:spacing w:after="0" w:line="240" w:lineRule="auto"/>
        <w:ind w:left="786"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Dokaz o uplati garancije za ozbiljnost ponude, za svaki lot posebna uplata na posebnoj uplatnici ( 10% od početne vrijednosti lot-a, kako je navedeno po lot-ovima).</w:t>
      </w:r>
    </w:p>
    <w:p w:rsidR="009C7107" w:rsidRDefault="009C7107">
      <w:pPr>
        <w:suppressAutoHyphens/>
        <w:spacing w:after="0" w:line="240" w:lineRule="auto"/>
        <w:ind w:left="360"/>
        <w:jc w:val="both"/>
        <w:rPr>
          <w:rFonts w:ascii="Times New Roman" w:eastAsia="Times New Roman" w:hAnsi="Times New Roman" w:cs="Times New Roman"/>
          <w:color w:val="000000"/>
          <w:sz w:val="24"/>
        </w:rPr>
      </w:pPr>
    </w:p>
    <w:p w:rsidR="009C7107" w:rsidRDefault="003611FA">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Pored navedenog ponuđači koju budu izabrani, a koji se prvi put prijavljuju, dobit će pismeno obavještenje/poziv da u roku od 2 (dva) dana, </w:t>
      </w:r>
      <w:r>
        <w:rPr>
          <w:rFonts w:ascii="Times New Roman" w:eastAsia="Times New Roman" w:hAnsi="Times New Roman" w:cs="Times New Roman"/>
          <w:b/>
          <w:color w:val="FF0000"/>
          <w:sz w:val="24"/>
        </w:rPr>
        <w:t>od dana prijema obavještenja</w:t>
      </w:r>
      <w:r>
        <w:rPr>
          <w:rFonts w:ascii="Times New Roman" w:eastAsia="Times New Roman" w:hAnsi="Times New Roman" w:cs="Times New Roman"/>
          <w:b/>
          <w:color w:val="000000"/>
          <w:sz w:val="24"/>
        </w:rPr>
        <w:t xml:space="preserve">, ne računajući neradne dane, dostave slijedeće dokaze : </w:t>
      </w:r>
    </w:p>
    <w:p w:rsidR="009C7107" w:rsidRDefault="009C7107">
      <w:pPr>
        <w:suppressAutoHyphens/>
        <w:spacing w:after="0" w:line="240" w:lineRule="auto"/>
        <w:jc w:val="both"/>
        <w:rPr>
          <w:rFonts w:ascii="Times New Roman" w:eastAsia="Times New Roman" w:hAnsi="Times New Roman" w:cs="Times New Roman"/>
          <w:color w:val="000000"/>
          <w:sz w:val="24"/>
        </w:rPr>
      </w:pPr>
    </w:p>
    <w:p w:rsidR="009C7107" w:rsidRDefault="003611FA">
      <w:pPr>
        <w:numPr>
          <w:ilvl w:val="0"/>
          <w:numId w:val="2"/>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Rješenje o upisu u sudski registar, </w:t>
      </w:r>
    </w:p>
    <w:p w:rsidR="009C7107" w:rsidRDefault="003611FA">
      <w:pPr>
        <w:numPr>
          <w:ilvl w:val="0"/>
          <w:numId w:val="2"/>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Uvjerenje o poreznoj registraciji, </w:t>
      </w:r>
    </w:p>
    <w:p w:rsidR="009C7107" w:rsidRDefault="003611FA">
      <w:pPr>
        <w:numPr>
          <w:ilvl w:val="0"/>
          <w:numId w:val="2"/>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Uvjerenje o registraciji obveznika poreza na dodanu vrijednost. </w:t>
      </w:r>
    </w:p>
    <w:p w:rsidR="009C7107" w:rsidRDefault="003611FA">
      <w:pPr>
        <w:numPr>
          <w:ilvl w:val="0"/>
          <w:numId w:val="2"/>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Potvrdu o solventnosti izdatu od poslovne banke u kojoj ponuđač ima otvoren račun.</w:t>
      </w:r>
    </w:p>
    <w:p w:rsidR="009C7107" w:rsidRDefault="009C7107">
      <w:pPr>
        <w:suppressAutoHyphens/>
        <w:spacing w:after="0" w:line="240" w:lineRule="auto"/>
        <w:jc w:val="both"/>
        <w:rPr>
          <w:rFonts w:ascii="Times New Roman" w:eastAsia="Times New Roman" w:hAnsi="Times New Roman" w:cs="Times New Roman"/>
          <w:color w:val="000000"/>
          <w:sz w:val="24"/>
        </w:rPr>
      </w:pPr>
    </w:p>
    <w:p w:rsidR="009C7107" w:rsidRDefault="003611FA">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Svi navedeni dokazi dostavljaju se u ovjerenoj kopiji. Traženi dokazi se dostavljaju u zatvorenoj koverti sa naznakom „dokazi za licitaciju broj: PL-</w:t>
      </w:r>
      <w:r w:rsidR="00226560">
        <w:rPr>
          <w:rFonts w:ascii="Times New Roman" w:eastAsia="Times New Roman" w:hAnsi="Times New Roman" w:cs="Times New Roman"/>
          <w:color w:val="000000"/>
          <w:sz w:val="24"/>
        </w:rPr>
        <w:t>21</w:t>
      </w:r>
      <w:r>
        <w:rPr>
          <w:rFonts w:ascii="Times New Roman" w:eastAsia="Times New Roman" w:hAnsi="Times New Roman" w:cs="Times New Roman"/>
          <w:color w:val="000000"/>
          <w:sz w:val="24"/>
        </w:rPr>
        <w:t xml:space="preserve">/18 “ kao i naznakom „ne otvarati“. </w:t>
      </w:r>
    </w:p>
    <w:p w:rsidR="009C7107" w:rsidRDefault="009C7107">
      <w:pPr>
        <w:suppressAutoHyphens/>
        <w:spacing w:after="0" w:line="240" w:lineRule="auto"/>
        <w:jc w:val="both"/>
        <w:rPr>
          <w:rFonts w:ascii="Times New Roman" w:eastAsia="Times New Roman" w:hAnsi="Times New Roman" w:cs="Times New Roman"/>
          <w:color w:val="FF0000"/>
          <w:sz w:val="24"/>
        </w:rPr>
      </w:pPr>
    </w:p>
    <w:p w:rsidR="009C7107" w:rsidRDefault="003611FA">
      <w:pPr>
        <w:suppressAutoHyphens/>
        <w:spacing w:after="0" w:line="240"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U slučaju da ponuđač propusti da dostavi tažene dokaze u propisanom roku, ugovor se dodjeljuje drugorangiranom ponuđaču. </w:t>
      </w:r>
    </w:p>
    <w:p w:rsidR="009C7107" w:rsidRDefault="009C7107">
      <w:pPr>
        <w:suppressAutoHyphens/>
        <w:spacing w:after="0" w:line="240" w:lineRule="auto"/>
        <w:jc w:val="both"/>
        <w:rPr>
          <w:rFonts w:ascii="Times New Roman" w:eastAsia="Times New Roman" w:hAnsi="Times New Roman" w:cs="Times New Roman"/>
          <w:b/>
          <w:color w:val="FF0000"/>
          <w:sz w:val="24"/>
        </w:rPr>
      </w:pPr>
    </w:p>
    <w:p w:rsidR="009C7107" w:rsidRDefault="003611FA">
      <w:pPr>
        <w:suppressAutoHyphens/>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Ponuđači koji učestvuju redovno na licitacijama i koji su već dostavili dokumentaciju pod rednim brojem 1., 2. i 3. umjesto dokaza dužni su dostaviti slijedeće:</w:t>
      </w:r>
    </w:p>
    <w:p w:rsidR="009C7107" w:rsidRDefault="009C7107">
      <w:pPr>
        <w:suppressAutoHyphens/>
        <w:spacing w:after="0" w:line="240" w:lineRule="auto"/>
        <w:jc w:val="both"/>
        <w:rPr>
          <w:rFonts w:ascii="Times New Roman" w:eastAsia="Times New Roman" w:hAnsi="Times New Roman" w:cs="Times New Roman"/>
          <w:b/>
          <w:color w:val="FF0000"/>
          <w:sz w:val="24"/>
          <w:u w:val="single"/>
        </w:rPr>
      </w:pPr>
    </w:p>
    <w:p w:rsidR="009C7107" w:rsidRDefault="003611FA">
      <w:pPr>
        <w:numPr>
          <w:ilvl w:val="0"/>
          <w:numId w:val="3"/>
        </w:numPr>
        <w:tabs>
          <w:tab w:val="left" w:pos="720"/>
        </w:tabs>
        <w:spacing w:after="0" w:line="240" w:lineRule="auto"/>
        <w:ind w:left="720" w:hanging="360"/>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Izjavu kojom izjavljuju da od dostavljanja dokaza nije bilo promjena i </w:t>
      </w:r>
    </w:p>
    <w:p w:rsidR="009C7107" w:rsidRDefault="003611FA">
      <w:pPr>
        <w:numPr>
          <w:ilvl w:val="0"/>
          <w:numId w:val="3"/>
        </w:numPr>
        <w:tabs>
          <w:tab w:val="left" w:pos="720"/>
        </w:tabs>
        <w:spacing w:after="0" w:line="240" w:lineRule="auto"/>
        <w:ind w:left="720" w:hanging="360"/>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Potvrdu o solventnosti </w:t>
      </w:r>
      <w:r>
        <w:rPr>
          <w:rFonts w:ascii="Times New Roman" w:eastAsia="Times New Roman" w:hAnsi="Times New Roman" w:cs="Times New Roman"/>
          <w:b/>
          <w:color w:val="000000"/>
          <w:sz w:val="24"/>
        </w:rPr>
        <w:t>izdatu od poslovne banke u kojoj ponuđač ima otvoren račun</w:t>
      </w:r>
    </w:p>
    <w:p w:rsidR="009C7107" w:rsidRDefault="009C7107">
      <w:pPr>
        <w:spacing w:after="0" w:line="240" w:lineRule="auto"/>
        <w:ind w:left="720"/>
        <w:jc w:val="both"/>
        <w:rPr>
          <w:rFonts w:ascii="Times New Roman" w:eastAsia="Times New Roman" w:hAnsi="Times New Roman" w:cs="Times New Roman"/>
          <w:b/>
          <w:color w:val="FF0000"/>
          <w:sz w:val="24"/>
        </w:rPr>
      </w:pPr>
    </w:p>
    <w:p w:rsidR="009C7107" w:rsidRDefault="003611FA">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Ponuđači koji su uz ponudu već dostavili tražene dokaze neće biti dužni ponovo ih dostavljati. </w:t>
      </w:r>
    </w:p>
    <w:p w:rsidR="009C7107" w:rsidRDefault="003611FA">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FF0000"/>
          <w:sz w:val="24"/>
        </w:rPr>
        <w:t>Obaveza kupca je da preuzme količinski do 5% više od ugovorene količine, ukoliko ta količina ostane na stovarištu.</w:t>
      </w:r>
    </w:p>
    <w:p w:rsidR="009C7107" w:rsidRDefault="003611FA">
      <w:p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color w:val="FF0000"/>
          <w:sz w:val="24"/>
        </w:rPr>
        <w:t xml:space="preserve">U slučaju da dva ili više ponuđača ponude istu cijenu za jedan LOT , prednost će imati ponuđač/kupac koji je ponudio veću cijenu za prvu klasu drvnog sortimenta koji se prodaje. Ukoliko su cijene identične po svim klasama kod dva ili više ponuđača, bit će pozvani na usmenu licitaciju-nadmetanje. U pozivu za usmenu licitaciju, ponuđači/kupci će biti obavješteni o mjestu, datumu i početku zakazanog usmenog nadmetanja kao i o najmanjem iznosu podizanja cijene. Licitirati se ne može ispod prvobitno ponuđene cijene u ponudi. Ukoliko se jedan od ponuđača ne pojavi na zakazanom usmenom nadmetanju ugovor će se dodijeliti ponuđaču/kupcu koji je pristupio nadmetanju. U slučaju da se niti jedan ponuđač ne pojavi na zakazanom usmenom nadmetanju, LOT se poništava. </w:t>
      </w:r>
      <w:r>
        <w:rPr>
          <w:rFonts w:ascii="Times New Roman" w:eastAsia="Times New Roman" w:hAnsi="Times New Roman" w:cs="Times New Roman"/>
          <w:b/>
          <w:sz w:val="24"/>
        </w:rPr>
        <w:t>Kupac plaća robu avansno prije otpremanja drvnih sortimenata.</w:t>
      </w:r>
    </w:p>
    <w:p w:rsidR="009C7107" w:rsidRDefault="003611FA">
      <w:pPr>
        <w:tabs>
          <w:tab w:val="left" w:pos="225"/>
          <w:tab w:val="right" w:leader="dot" w:pos="7371"/>
        </w:tabs>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Utovar na prijevozno sredstvo je obaveza kupca.</w:t>
      </w:r>
    </w:p>
    <w:p w:rsidR="009C7107" w:rsidRDefault="003611FA">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Rok za podnošenje ponuda: </w:t>
      </w:r>
      <w:r>
        <w:rPr>
          <w:rFonts w:ascii="Times New Roman" w:eastAsia="Times New Roman" w:hAnsi="Times New Roman" w:cs="Times New Roman"/>
          <w:b/>
          <w:sz w:val="24"/>
        </w:rPr>
        <w:t xml:space="preserve">Ponude slati u zatvorenoj koverti najkasnije do </w:t>
      </w:r>
      <w:r w:rsidR="00226560">
        <w:rPr>
          <w:rFonts w:ascii="Times New Roman" w:eastAsia="Times New Roman" w:hAnsi="Times New Roman" w:cs="Times New Roman"/>
          <w:b/>
          <w:sz w:val="24"/>
        </w:rPr>
        <w:t>22</w:t>
      </w:r>
      <w:r>
        <w:rPr>
          <w:rFonts w:ascii="Times New Roman" w:eastAsia="Times New Roman" w:hAnsi="Times New Roman" w:cs="Times New Roman"/>
          <w:b/>
          <w:sz w:val="24"/>
        </w:rPr>
        <w:t>.</w:t>
      </w:r>
      <w:r w:rsidR="00226560">
        <w:rPr>
          <w:rFonts w:ascii="Times New Roman" w:eastAsia="Times New Roman" w:hAnsi="Times New Roman" w:cs="Times New Roman"/>
          <w:b/>
          <w:sz w:val="24"/>
        </w:rPr>
        <w:t>10</w:t>
      </w:r>
      <w:r>
        <w:rPr>
          <w:rFonts w:ascii="Times New Roman" w:eastAsia="Times New Roman" w:hAnsi="Times New Roman" w:cs="Times New Roman"/>
          <w:b/>
          <w:sz w:val="24"/>
        </w:rPr>
        <w:t xml:space="preserve">.2018. godine do   10,00 sati  na protokol JP “ŠPD ZDK” d.o.o. Zavidovići, sa naznakom Licitacija br </w:t>
      </w:r>
      <w:r w:rsidR="00226560">
        <w:rPr>
          <w:rFonts w:ascii="Times New Roman" w:eastAsia="Times New Roman" w:hAnsi="Times New Roman" w:cs="Times New Roman"/>
          <w:b/>
          <w:sz w:val="24"/>
        </w:rPr>
        <w:t>21</w:t>
      </w:r>
      <w:r>
        <w:rPr>
          <w:rFonts w:ascii="Times New Roman" w:eastAsia="Times New Roman" w:hAnsi="Times New Roman" w:cs="Times New Roman"/>
          <w:b/>
          <w:sz w:val="24"/>
        </w:rPr>
        <w:t xml:space="preserve">– PL/18 –prodaja drvnih sortimenata bukve  „na paritetu tvrdi put“ -NE OTVARATI  </w:t>
      </w:r>
      <w:r w:rsidR="00BF24B5">
        <w:rPr>
          <w:rFonts w:ascii="Times New Roman" w:eastAsia="Times New Roman" w:hAnsi="Times New Roman" w:cs="Times New Roman"/>
          <w:b/>
          <w:sz w:val="24"/>
        </w:rPr>
        <w:t>ili prodaja drvnih sortimenata hrasta“na paritetu tvrdi put“-NE OTVARATI.</w:t>
      </w:r>
    </w:p>
    <w:p w:rsidR="009C7107" w:rsidRDefault="003611FA">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Rok za dostavljanje ponuda ističe </w:t>
      </w:r>
      <w:r w:rsidR="00226560">
        <w:rPr>
          <w:rFonts w:ascii="Times New Roman" w:eastAsia="Times New Roman" w:hAnsi="Times New Roman" w:cs="Times New Roman"/>
          <w:b/>
          <w:color w:val="FF0000"/>
          <w:sz w:val="24"/>
        </w:rPr>
        <w:t>22</w:t>
      </w:r>
      <w:r>
        <w:rPr>
          <w:rFonts w:ascii="Times New Roman" w:eastAsia="Times New Roman" w:hAnsi="Times New Roman" w:cs="Times New Roman"/>
          <w:b/>
          <w:color w:val="FF0000"/>
          <w:sz w:val="24"/>
        </w:rPr>
        <w:t>.</w:t>
      </w:r>
      <w:r w:rsidR="00226560">
        <w:rPr>
          <w:rFonts w:ascii="Times New Roman" w:eastAsia="Times New Roman" w:hAnsi="Times New Roman" w:cs="Times New Roman"/>
          <w:b/>
          <w:color w:val="FF0000"/>
          <w:sz w:val="24"/>
        </w:rPr>
        <w:t>10</w:t>
      </w:r>
      <w:r>
        <w:rPr>
          <w:rFonts w:ascii="Times New Roman" w:eastAsia="Times New Roman" w:hAnsi="Times New Roman" w:cs="Times New Roman"/>
          <w:b/>
          <w:color w:val="FF0000"/>
          <w:sz w:val="24"/>
        </w:rPr>
        <w:t>.2018. godine u 10,00 sati.</w:t>
      </w:r>
      <w:r>
        <w:rPr>
          <w:rFonts w:ascii="Times New Roman" w:eastAsia="Times New Roman" w:hAnsi="Times New Roman" w:cs="Times New Roman"/>
          <w:b/>
          <w:color w:val="000000"/>
          <w:sz w:val="24"/>
        </w:rPr>
        <w:t xml:space="preserve"> Ponude koje su dostavljene po isteku ovog roka će biti vraćene ponuđaču neotvorene.</w:t>
      </w:r>
    </w:p>
    <w:p w:rsidR="009C7107" w:rsidRDefault="003611FA">
      <w:pPr>
        <w:suppressAutoHyphens/>
        <w:spacing w:after="0" w:line="240" w:lineRule="auto"/>
        <w:ind w:left="-142" w:hanging="142"/>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Cjenovni obrazac ponude treba biti potpisan i popečaćen.</w:t>
      </w:r>
    </w:p>
    <w:p w:rsidR="009C7107" w:rsidRDefault="003611F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Prijave slati na adresu: </w:t>
      </w:r>
      <w:r>
        <w:rPr>
          <w:rFonts w:ascii="Times New Roman" w:eastAsia="Times New Roman" w:hAnsi="Times New Roman" w:cs="Times New Roman"/>
          <w:sz w:val="24"/>
        </w:rPr>
        <w:t>JP “ŠPD ZDK” d.o.o. Zavidovići, Ulica Alije Izetbegovića br.25. Zavidovići</w:t>
      </w:r>
    </w:p>
    <w:p w:rsidR="009C7107" w:rsidRDefault="003611F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Otvaranje ponuda: Javno otvaranje će se obaviti dana </w:t>
      </w:r>
      <w:r w:rsidR="00226560">
        <w:rPr>
          <w:rFonts w:ascii="Times New Roman" w:eastAsia="Times New Roman" w:hAnsi="Times New Roman" w:cs="Times New Roman"/>
          <w:b/>
          <w:sz w:val="24"/>
        </w:rPr>
        <w:t>22</w:t>
      </w:r>
      <w:r>
        <w:rPr>
          <w:rFonts w:ascii="Times New Roman" w:eastAsia="Times New Roman" w:hAnsi="Times New Roman" w:cs="Times New Roman"/>
          <w:b/>
          <w:sz w:val="24"/>
        </w:rPr>
        <w:t>.</w:t>
      </w:r>
      <w:r w:rsidR="00226560">
        <w:rPr>
          <w:rFonts w:ascii="Times New Roman" w:eastAsia="Times New Roman" w:hAnsi="Times New Roman" w:cs="Times New Roman"/>
          <w:b/>
          <w:sz w:val="24"/>
        </w:rPr>
        <w:t>10</w:t>
      </w:r>
      <w:r>
        <w:rPr>
          <w:rFonts w:ascii="Times New Roman" w:eastAsia="Times New Roman" w:hAnsi="Times New Roman" w:cs="Times New Roman"/>
          <w:b/>
          <w:sz w:val="24"/>
        </w:rPr>
        <w:t>.2018.godine u 11,00 sati u prostorijama Uprave društva u Zavidovićima u Ulici Alije Izetbegovića br. 25.</w:t>
      </w:r>
    </w:p>
    <w:p w:rsidR="00226560" w:rsidRDefault="00226560">
      <w:pPr>
        <w:suppressAutoHyphens/>
        <w:spacing w:after="0" w:line="240" w:lineRule="auto"/>
        <w:jc w:val="both"/>
        <w:rPr>
          <w:rFonts w:ascii="Times New Roman" w:eastAsia="Times New Roman" w:hAnsi="Times New Roman" w:cs="Times New Roman"/>
          <w:b/>
          <w:sz w:val="24"/>
        </w:rPr>
      </w:pPr>
    </w:p>
    <w:p w:rsidR="009C7107" w:rsidRDefault="009C7107">
      <w:pPr>
        <w:suppressAutoHyphens/>
        <w:spacing w:after="0" w:line="240" w:lineRule="auto"/>
        <w:jc w:val="both"/>
        <w:rPr>
          <w:rFonts w:ascii="Times New Roman" w:eastAsia="Times New Roman" w:hAnsi="Times New Roman" w:cs="Times New Roman"/>
          <w:sz w:val="24"/>
        </w:rPr>
      </w:pPr>
    </w:p>
    <w:p w:rsidR="009C7107" w:rsidRDefault="003611FA">
      <w:pPr>
        <w:suppressAutoHyphens/>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b/>
          <w:sz w:val="24"/>
          <w:shd w:val="clear" w:color="auto" w:fill="FFFF00"/>
        </w:rPr>
        <w:t>Uslovi plaćanja:</w:t>
      </w:r>
      <w:r>
        <w:rPr>
          <w:rFonts w:ascii="Times New Roman" w:eastAsia="Times New Roman" w:hAnsi="Times New Roman" w:cs="Times New Roman"/>
          <w:sz w:val="24"/>
          <w:shd w:val="clear" w:color="auto" w:fill="FFFF00"/>
        </w:rPr>
        <w:t xml:space="preserve"> Ponuđač dužan je uz traženu dokumentaciju priložiti dokaz o uplati garancije za ozbiljnost ponude 10 % od početne vrijednosti lot-a (</w:t>
      </w:r>
      <w:r>
        <w:rPr>
          <w:rFonts w:ascii="Times New Roman" w:eastAsia="Times New Roman" w:hAnsi="Times New Roman" w:cs="Times New Roman"/>
          <w:b/>
          <w:sz w:val="24"/>
          <w:shd w:val="clear" w:color="auto" w:fill="FFFF00"/>
        </w:rPr>
        <w:t>za svaki LOT posebna uplata</w:t>
      </w:r>
      <w:r>
        <w:rPr>
          <w:rFonts w:ascii="Times New Roman" w:eastAsia="Times New Roman" w:hAnsi="Times New Roman" w:cs="Times New Roman"/>
          <w:sz w:val="24"/>
          <w:shd w:val="clear" w:color="auto" w:fill="FFFF00"/>
        </w:rPr>
        <w:t xml:space="preserve">) </w:t>
      </w:r>
      <w:r>
        <w:rPr>
          <w:rFonts w:ascii="Times New Roman" w:eastAsia="Times New Roman" w:hAnsi="Times New Roman" w:cs="Times New Roman"/>
          <w:b/>
          <w:sz w:val="24"/>
          <w:u w:val="single"/>
          <w:shd w:val="clear" w:color="auto" w:fill="FFFF00"/>
        </w:rPr>
        <w:t>u iznosima kako slijedi</w:t>
      </w:r>
      <w:r>
        <w:rPr>
          <w:rFonts w:ascii="Times New Roman" w:eastAsia="Times New Roman" w:hAnsi="Times New Roman" w:cs="Times New Roman"/>
          <w:sz w:val="24"/>
          <w:shd w:val="clear" w:color="auto" w:fill="FFFF00"/>
        </w:rPr>
        <w:t xml:space="preserve">: </w:t>
      </w:r>
    </w:p>
    <w:p w:rsidR="009C7107" w:rsidRDefault="003611F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Za LOT-1   iznos uplate  </w:t>
      </w:r>
      <w:r w:rsidR="00711FA2">
        <w:rPr>
          <w:rFonts w:ascii="Times New Roman" w:eastAsia="Times New Roman" w:hAnsi="Times New Roman" w:cs="Times New Roman"/>
          <w:b/>
          <w:sz w:val="24"/>
        </w:rPr>
        <w:t>3 520,00</w:t>
      </w:r>
      <w:r w:rsidR="00226560">
        <w:rPr>
          <w:rFonts w:ascii="Times New Roman" w:eastAsia="Times New Roman" w:hAnsi="Times New Roman" w:cs="Times New Roman"/>
          <w:b/>
          <w:sz w:val="24"/>
        </w:rPr>
        <w:t xml:space="preserve">  </w:t>
      </w:r>
      <w:r>
        <w:rPr>
          <w:rFonts w:ascii="Times New Roman" w:eastAsia="Times New Roman" w:hAnsi="Times New Roman" w:cs="Times New Roman"/>
          <w:b/>
          <w:sz w:val="24"/>
        </w:rPr>
        <w:t>KM</w:t>
      </w:r>
    </w:p>
    <w:p w:rsidR="009C7107" w:rsidRDefault="003611F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Za LOT-2   iznos uplate  </w:t>
      </w:r>
      <w:r w:rsidR="00841040">
        <w:rPr>
          <w:rFonts w:ascii="Times New Roman" w:eastAsia="Times New Roman" w:hAnsi="Times New Roman" w:cs="Times New Roman"/>
          <w:b/>
          <w:sz w:val="24"/>
        </w:rPr>
        <w:t>2 340,00</w:t>
      </w:r>
      <w:r w:rsidR="00226560">
        <w:rPr>
          <w:rFonts w:ascii="Times New Roman" w:eastAsia="Times New Roman" w:hAnsi="Times New Roman" w:cs="Times New Roman"/>
          <w:b/>
          <w:sz w:val="24"/>
        </w:rPr>
        <w:t xml:space="preserve">  </w:t>
      </w:r>
      <w:r>
        <w:rPr>
          <w:rFonts w:ascii="Times New Roman" w:eastAsia="Times New Roman" w:hAnsi="Times New Roman" w:cs="Times New Roman"/>
          <w:b/>
          <w:sz w:val="24"/>
        </w:rPr>
        <w:t>KM</w:t>
      </w:r>
    </w:p>
    <w:p w:rsidR="00301C02" w:rsidRDefault="00301C02" w:rsidP="00301C0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Za LOT-</w:t>
      </w:r>
      <w:r w:rsidR="00596215">
        <w:rPr>
          <w:rFonts w:ascii="Times New Roman" w:eastAsia="Times New Roman" w:hAnsi="Times New Roman" w:cs="Times New Roman"/>
          <w:b/>
          <w:sz w:val="24"/>
        </w:rPr>
        <w:t>3</w:t>
      </w:r>
      <w:r>
        <w:rPr>
          <w:rFonts w:ascii="Times New Roman" w:eastAsia="Times New Roman" w:hAnsi="Times New Roman" w:cs="Times New Roman"/>
          <w:b/>
          <w:sz w:val="24"/>
        </w:rPr>
        <w:t xml:space="preserve">   iznos uplate  </w:t>
      </w:r>
      <w:r w:rsidR="00841040">
        <w:rPr>
          <w:rFonts w:ascii="Times New Roman" w:eastAsia="Times New Roman" w:hAnsi="Times New Roman" w:cs="Times New Roman"/>
          <w:b/>
          <w:sz w:val="24"/>
        </w:rPr>
        <w:t>2 340,00</w:t>
      </w:r>
      <w:r w:rsidR="00226560">
        <w:rPr>
          <w:rFonts w:ascii="Times New Roman" w:eastAsia="Times New Roman" w:hAnsi="Times New Roman" w:cs="Times New Roman"/>
          <w:b/>
          <w:sz w:val="24"/>
        </w:rPr>
        <w:t xml:space="preserve">  </w:t>
      </w:r>
      <w:r>
        <w:rPr>
          <w:rFonts w:ascii="Times New Roman" w:eastAsia="Times New Roman" w:hAnsi="Times New Roman" w:cs="Times New Roman"/>
          <w:b/>
          <w:sz w:val="24"/>
        </w:rPr>
        <w:t>KM</w:t>
      </w:r>
    </w:p>
    <w:p w:rsidR="00226560" w:rsidRDefault="00226560" w:rsidP="0022656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Za LOT-4   iznos uplate  </w:t>
      </w:r>
      <w:r w:rsidR="00841040">
        <w:rPr>
          <w:rFonts w:ascii="Times New Roman" w:eastAsia="Times New Roman" w:hAnsi="Times New Roman" w:cs="Times New Roman"/>
          <w:b/>
          <w:sz w:val="24"/>
        </w:rPr>
        <w:t>7 700,00</w:t>
      </w:r>
      <w:r>
        <w:rPr>
          <w:rFonts w:ascii="Times New Roman" w:eastAsia="Times New Roman" w:hAnsi="Times New Roman" w:cs="Times New Roman"/>
          <w:b/>
          <w:sz w:val="24"/>
        </w:rPr>
        <w:t xml:space="preserve"> </w:t>
      </w:r>
      <w:r w:rsidR="00841040">
        <w:rPr>
          <w:rFonts w:ascii="Times New Roman" w:eastAsia="Times New Roman" w:hAnsi="Times New Roman" w:cs="Times New Roman"/>
          <w:b/>
          <w:sz w:val="24"/>
        </w:rPr>
        <w:t xml:space="preserve"> </w:t>
      </w:r>
      <w:r>
        <w:rPr>
          <w:rFonts w:ascii="Times New Roman" w:eastAsia="Times New Roman" w:hAnsi="Times New Roman" w:cs="Times New Roman"/>
          <w:b/>
          <w:sz w:val="24"/>
        </w:rPr>
        <w:t>KM</w:t>
      </w:r>
    </w:p>
    <w:p w:rsidR="00226560" w:rsidRDefault="00226560" w:rsidP="00226560">
      <w:pPr>
        <w:suppressAutoHyphens/>
        <w:spacing w:after="0" w:line="240" w:lineRule="auto"/>
        <w:jc w:val="both"/>
        <w:rPr>
          <w:rFonts w:ascii="Times New Roman" w:eastAsia="Times New Roman" w:hAnsi="Times New Roman" w:cs="Times New Roman"/>
          <w:sz w:val="24"/>
        </w:rPr>
      </w:pPr>
    </w:p>
    <w:p w:rsidR="009C7107" w:rsidRDefault="009C7107">
      <w:pPr>
        <w:suppressAutoHyphens/>
        <w:spacing w:after="0" w:line="240" w:lineRule="auto"/>
        <w:jc w:val="both"/>
        <w:rPr>
          <w:rFonts w:ascii="Times New Roman" w:eastAsia="Times New Roman" w:hAnsi="Times New Roman" w:cs="Times New Roman"/>
          <w:sz w:val="24"/>
        </w:rPr>
      </w:pPr>
    </w:p>
    <w:p w:rsidR="009C7107" w:rsidRDefault="003611F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NAPOMENA</w:t>
      </w:r>
    </w:p>
    <w:p w:rsidR="009C7107" w:rsidRDefault="009C7107">
      <w:pPr>
        <w:suppressAutoHyphens/>
        <w:spacing w:after="0" w:line="240" w:lineRule="auto"/>
        <w:jc w:val="both"/>
        <w:rPr>
          <w:rFonts w:ascii="Times New Roman" w:eastAsia="Times New Roman" w:hAnsi="Times New Roman" w:cs="Times New Roman"/>
          <w:sz w:val="24"/>
        </w:rPr>
      </w:pPr>
    </w:p>
    <w:p w:rsidR="009C7107" w:rsidRDefault="003611F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Ponuđačima čija ponuda ne bude izabrana kao najpovoljnija, garancija će se vratiti nakon što se zaključi ugovor sa najpovoljnijim ponuđačem. Ukoliko izabrani najpovoljniji ponuđač ne zaključi ugovor, garancija se neće vratiti, a ugovor će se zaključiti sa drugorangiranim ponuđačem.</w:t>
      </w:r>
    </w:p>
    <w:p w:rsidR="009C7107" w:rsidRDefault="003611F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Nakon zaključenja ugovora o kupoprodaji, kupac plaća robu avansno prije otpremanja drvnih sortimenata.</w:t>
      </w:r>
    </w:p>
    <w:p w:rsidR="009C7107" w:rsidRDefault="003611F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Iznos garancije za ozbiljnost ponude koji je Kupac uplatio na ime učešća na licitaciji Prodavac će zadržati do kraja relizacije ugovora na ime garancije za dobro izvršenja ugovora.</w:t>
      </w:r>
    </w:p>
    <w:p w:rsidR="009C7107" w:rsidRDefault="003611F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Ukoliko Kupac bude uredno izvršavao ugovorene obaveze do kraja iznos garancije će biti uračunat kao avans za zadnju isporuku. Ukoliko Kupac ne bude poštovao  ugovorene obaveze  Prodavac će zadržati iznos garancije. </w:t>
      </w:r>
    </w:p>
    <w:p w:rsidR="009C7107" w:rsidRDefault="003611F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Ukoliko ponuđena jedinična cijena po bilo kom sortimentu i klasi je neodređena ili niža od početnih cijena u obrascima, ponuda će se smatrati neprihvatljivom i kao takva će biti odbijena.</w:t>
      </w:r>
    </w:p>
    <w:p w:rsidR="009C7107" w:rsidRDefault="003611F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Ukoliko ponuda ne bude kompletna u dijelu tražene dokumentacije odnosno ponuđač bude ocijenjen kao nekvalificiran za učešće u nadmetanju, ista će se odbaciti. </w:t>
      </w:r>
    </w:p>
    <w:p w:rsidR="003611FA" w:rsidRDefault="003611FA">
      <w:pPr>
        <w:suppressAutoHyphens/>
        <w:spacing w:after="0" w:line="240" w:lineRule="auto"/>
        <w:jc w:val="both"/>
        <w:rPr>
          <w:rFonts w:ascii="Times New Roman" w:eastAsia="Times New Roman" w:hAnsi="Times New Roman" w:cs="Times New Roman"/>
          <w:b/>
          <w:sz w:val="24"/>
        </w:rPr>
      </w:pPr>
    </w:p>
    <w:p w:rsidR="003611FA" w:rsidRDefault="003611FA">
      <w:pPr>
        <w:suppressAutoHyphens/>
        <w:spacing w:after="0" w:line="240" w:lineRule="auto"/>
        <w:jc w:val="both"/>
        <w:rPr>
          <w:rFonts w:ascii="Times New Roman" w:eastAsia="Times New Roman" w:hAnsi="Times New Roman" w:cs="Times New Roman"/>
          <w:b/>
          <w:sz w:val="24"/>
        </w:rPr>
      </w:pPr>
    </w:p>
    <w:p w:rsidR="003611FA" w:rsidRDefault="003611FA">
      <w:pPr>
        <w:suppressAutoHyphens/>
        <w:spacing w:after="0" w:line="240" w:lineRule="auto"/>
        <w:jc w:val="both"/>
        <w:rPr>
          <w:rFonts w:ascii="Times New Roman" w:eastAsia="Times New Roman" w:hAnsi="Times New Roman" w:cs="Times New Roman"/>
          <w:b/>
          <w:sz w:val="24"/>
        </w:rPr>
      </w:pPr>
    </w:p>
    <w:p w:rsidR="003611FA" w:rsidRDefault="003611FA">
      <w:pPr>
        <w:suppressAutoHyphens/>
        <w:spacing w:after="0" w:line="240" w:lineRule="auto"/>
        <w:jc w:val="both"/>
        <w:rPr>
          <w:rFonts w:ascii="Times New Roman" w:eastAsia="Times New Roman" w:hAnsi="Times New Roman" w:cs="Times New Roman"/>
          <w:b/>
          <w:sz w:val="24"/>
        </w:rPr>
      </w:pPr>
    </w:p>
    <w:p w:rsidR="003611FA" w:rsidRDefault="003611FA">
      <w:pPr>
        <w:suppressAutoHyphens/>
        <w:spacing w:after="0" w:line="240" w:lineRule="auto"/>
        <w:jc w:val="both"/>
        <w:rPr>
          <w:rFonts w:ascii="Times New Roman" w:eastAsia="Times New Roman" w:hAnsi="Times New Roman" w:cs="Times New Roman"/>
          <w:b/>
          <w:sz w:val="24"/>
        </w:rPr>
      </w:pPr>
    </w:p>
    <w:p w:rsidR="003611FA" w:rsidRDefault="003611FA">
      <w:pPr>
        <w:suppressAutoHyphens/>
        <w:spacing w:after="0" w:line="240" w:lineRule="auto"/>
        <w:jc w:val="both"/>
        <w:rPr>
          <w:rFonts w:ascii="Times New Roman" w:eastAsia="Times New Roman" w:hAnsi="Times New Roman" w:cs="Times New Roman"/>
          <w:b/>
          <w:sz w:val="24"/>
        </w:rPr>
      </w:pPr>
    </w:p>
    <w:p w:rsidR="003611FA" w:rsidRDefault="003611FA">
      <w:pPr>
        <w:suppressAutoHyphens/>
        <w:spacing w:after="0" w:line="240" w:lineRule="auto"/>
        <w:jc w:val="both"/>
        <w:rPr>
          <w:rFonts w:ascii="Times New Roman" w:eastAsia="Times New Roman" w:hAnsi="Times New Roman" w:cs="Times New Roman"/>
          <w:b/>
          <w:sz w:val="24"/>
        </w:rPr>
      </w:pPr>
    </w:p>
    <w:p w:rsidR="003611FA" w:rsidRDefault="003611FA">
      <w:pPr>
        <w:suppressAutoHyphens/>
        <w:spacing w:after="0" w:line="240" w:lineRule="auto"/>
        <w:jc w:val="both"/>
        <w:rPr>
          <w:rFonts w:ascii="Times New Roman" w:eastAsia="Times New Roman" w:hAnsi="Times New Roman" w:cs="Times New Roman"/>
          <w:b/>
          <w:sz w:val="24"/>
        </w:rPr>
      </w:pPr>
    </w:p>
    <w:p w:rsidR="003611FA" w:rsidRDefault="003611FA">
      <w:pPr>
        <w:suppressAutoHyphens/>
        <w:spacing w:after="0" w:line="240" w:lineRule="auto"/>
        <w:jc w:val="both"/>
        <w:rPr>
          <w:rFonts w:ascii="Times New Roman" w:eastAsia="Times New Roman" w:hAnsi="Times New Roman" w:cs="Times New Roman"/>
          <w:b/>
          <w:sz w:val="24"/>
        </w:rPr>
      </w:pPr>
    </w:p>
    <w:p w:rsidR="003611FA" w:rsidRDefault="003611FA">
      <w:pPr>
        <w:suppressAutoHyphens/>
        <w:spacing w:after="0" w:line="240" w:lineRule="auto"/>
        <w:jc w:val="both"/>
        <w:rPr>
          <w:rFonts w:ascii="Times New Roman" w:eastAsia="Times New Roman" w:hAnsi="Times New Roman" w:cs="Times New Roman"/>
          <w:b/>
          <w:sz w:val="24"/>
        </w:rPr>
      </w:pPr>
    </w:p>
    <w:p w:rsidR="003611FA" w:rsidRDefault="003611FA">
      <w:pPr>
        <w:suppressAutoHyphens/>
        <w:spacing w:after="0" w:line="240" w:lineRule="auto"/>
        <w:jc w:val="both"/>
        <w:rPr>
          <w:rFonts w:ascii="Times New Roman" w:eastAsia="Times New Roman" w:hAnsi="Times New Roman" w:cs="Times New Roman"/>
          <w:b/>
          <w:sz w:val="24"/>
        </w:rPr>
      </w:pPr>
    </w:p>
    <w:p w:rsidR="009C7107" w:rsidRDefault="003611F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Dostavljeno:</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9C7107" w:rsidRDefault="003611FA">
      <w:pPr>
        <w:numPr>
          <w:ilvl w:val="0"/>
          <w:numId w:val="4"/>
        </w:numPr>
        <w:tabs>
          <w:tab w:val="left" w:pos="360"/>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Komisija za prodaju                                                                </w:t>
      </w:r>
    </w:p>
    <w:p w:rsidR="009C7107" w:rsidRDefault="003611FA">
      <w:pPr>
        <w:numPr>
          <w:ilvl w:val="0"/>
          <w:numId w:val="4"/>
        </w:numPr>
        <w:tabs>
          <w:tab w:val="left" w:pos="360"/>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Poslovne jedinice 1-9</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9C7107" w:rsidRPr="00D6734B" w:rsidRDefault="003611FA">
      <w:pPr>
        <w:numPr>
          <w:ilvl w:val="0"/>
          <w:numId w:val="4"/>
        </w:numPr>
        <w:tabs>
          <w:tab w:val="left" w:pos="360"/>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a/a</w:t>
      </w: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9C7107" w:rsidRPr="00D6734B" w:rsidRDefault="003611FA">
      <w:pPr>
        <w:pBdr>
          <w:bottom w:val="single" w:sz="12" w:space="1" w:color="auto"/>
        </w:pBdr>
        <w:suppressAutoHyphens/>
        <w:spacing w:after="0" w:line="240" w:lineRule="auto"/>
        <w:ind w:left="6480" w:firstLine="720"/>
        <w:rPr>
          <w:rFonts w:ascii="Times New Roman" w:eastAsia="Times New Roman" w:hAnsi="Times New Roman" w:cs="Times New Roman"/>
          <w:sz w:val="24"/>
        </w:rPr>
      </w:pPr>
      <w:r w:rsidRPr="00D6734B">
        <w:rPr>
          <w:rFonts w:ascii="Times New Roman" w:eastAsia="Times New Roman" w:hAnsi="Times New Roman" w:cs="Times New Roman"/>
          <w:sz w:val="24"/>
        </w:rPr>
        <w:t>DIREKTOR</w:t>
      </w:r>
    </w:p>
    <w:p w:rsidR="00D6734B" w:rsidRPr="00D6734B" w:rsidRDefault="00D6734B">
      <w:pPr>
        <w:pBdr>
          <w:bottom w:val="single" w:sz="12" w:space="1" w:color="auto"/>
        </w:pBdr>
        <w:suppressAutoHyphens/>
        <w:spacing w:after="0" w:line="240" w:lineRule="auto"/>
        <w:ind w:left="6480" w:firstLine="720"/>
        <w:rPr>
          <w:rFonts w:ascii="Times New Roman" w:eastAsia="Times New Roman" w:hAnsi="Times New Roman" w:cs="Times New Roman"/>
          <w:sz w:val="24"/>
        </w:rPr>
      </w:pPr>
    </w:p>
    <w:p w:rsidR="00D6734B" w:rsidRPr="00D6734B" w:rsidRDefault="00D6734B" w:rsidP="00D6734B">
      <w:pPr>
        <w:suppressAutoHyphens/>
        <w:spacing w:after="0" w:line="240" w:lineRule="auto"/>
        <w:rPr>
          <w:rFonts w:ascii="Times New Roman" w:eastAsia="Times New Roman" w:hAnsi="Times New Roman" w:cs="Times New Roman"/>
          <w:sz w:val="24"/>
        </w:rPr>
      </w:pPr>
      <w:r w:rsidRPr="00D6734B">
        <w:rPr>
          <w:rFonts w:ascii="Times New Roman" w:eastAsia="Times New Roman" w:hAnsi="Times New Roman" w:cs="Times New Roman"/>
          <w:sz w:val="24"/>
        </w:rPr>
        <w:t xml:space="preserve">                                                                                                  Devedžić Jasmin,dipl.pravnik</w:t>
      </w:r>
    </w:p>
    <w:p w:rsidR="00F12EE2" w:rsidRDefault="00F12EE2">
      <w:pPr>
        <w:suppressAutoHyphens/>
        <w:spacing w:after="0" w:line="240" w:lineRule="auto"/>
        <w:jc w:val="center"/>
        <w:rPr>
          <w:rFonts w:ascii="Times New Roman" w:eastAsia="Times New Roman" w:hAnsi="Times New Roman" w:cs="Times New Roman"/>
          <w:b/>
          <w:i/>
          <w:sz w:val="24"/>
        </w:rPr>
      </w:pPr>
    </w:p>
    <w:p w:rsidR="00F12EE2" w:rsidRDefault="003611FA">
      <w:p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CJENOVNI OBRAZAC PONUDE</w:t>
      </w:r>
    </w:p>
    <w:p w:rsidR="00F12EE2" w:rsidRDefault="00F12EE2">
      <w:pPr>
        <w:suppressAutoHyphens/>
        <w:spacing w:after="0" w:line="240" w:lineRule="auto"/>
        <w:jc w:val="center"/>
        <w:rPr>
          <w:rFonts w:ascii="Times New Roman" w:eastAsia="Times New Roman" w:hAnsi="Times New Roman" w:cs="Times New Roman"/>
          <w:b/>
          <w:i/>
          <w:sz w:val="24"/>
        </w:rPr>
      </w:pPr>
    </w:p>
    <w:p w:rsidR="002B19E9" w:rsidRDefault="002B19E9" w:rsidP="002B19E9">
      <w:pPr>
        <w:suppressAutoHyphens/>
        <w:spacing w:after="0" w:line="240" w:lineRule="auto"/>
        <w:rPr>
          <w:rFonts w:ascii="Times New Roman" w:eastAsia="Times New Roman" w:hAnsi="Times New Roman" w:cs="Times New Roman"/>
          <w:b/>
          <w:i/>
          <w:sz w:val="24"/>
        </w:rPr>
      </w:pPr>
    </w:p>
    <w:p w:rsidR="002B19E9" w:rsidRDefault="002B19E9" w:rsidP="002B19E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Lot  </w:t>
      </w:r>
      <w:r w:rsidR="00711FA2">
        <w:rPr>
          <w:rFonts w:ascii="Times New Roman" w:eastAsia="Times New Roman" w:hAnsi="Times New Roman" w:cs="Times New Roman"/>
          <w:b/>
          <w:sz w:val="24"/>
        </w:rPr>
        <w:t>1</w:t>
      </w:r>
      <w:r>
        <w:rPr>
          <w:rFonts w:ascii="Times New Roman" w:eastAsia="Times New Roman" w:hAnsi="Times New Roman" w:cs="Times New Roman"/>
          <w:b/>
          <w:sz w:val="24"/>
        </w:rPr>
        <w:t xml:space="preserve">. Prodaja drvnih sortimenata bukve „na paritetu tvrdi put“ PJ “Šumarija “ </w:t>
      </w:r>
      <w:r w:rsidR="00711FA2">
        <w:rPr>
          <w:rFonts w:ascii="Times New Roman" w:eastAsia="Times New Roman" w:hAnsi="Times New Roman" w:cs="Times New Roman"/>
          <w:b/>
          <w:sz w:val="24"/>
        </w:rPr>
        <w:t>Kakanj</w:t>
      </w:r>
    </w:p>
    <w:p w:rsidR="002B19E9" w:rsidRDefault="002B19E9" w:rsidP="002B19E9">
      <w:pPr>
        <w:suppressAutoHyphens/>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1264"/>
        <w:gridCol w:w="1254"/>
        <w:gridCol w:w="1143"/>
        <w:gridCol w:w="698"/>
        <w:gridCol w:w="1481"/>
        <w:gridCol w:w="1668"/>
        <w:gridCol w:w="1682"/>
      </w:tblGrid>
      <w:tr w:rsidR="002B19E9" w:rsidTr="002B19E9">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Jed.mjere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Ukupna vrijednost bez PDV-a</w:t>
            </w:r>
          </w:p>
        </w:tc>
      </w:tr>
      <w:tr w:rsidR="002B19E9" w:rsidTr="002B19E9">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16"/>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16"/>
              </w:rPr>
              <w:t>7</w:t>
            </w:r>
          </w:p>
        </w:tc>
      </w:tr>
      <w:tr w:rsidR="002B19E9" w:rsidTr="002B19E9">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Bukva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tabs>
                <w:tab w:val="right" w:leader="dot" w:pos="7371"/>
              </w:tabs>
              <w:suppressAutoHyphens/>
              <w:spacing w:after="0" w:line="240" w:lineRule="auto"/>
              <w:jc w:val="center"/>
              <w:rPr>
                <w:rFonts w:ascii="Calibri" w:eastAsia="Calibri" w:hAnsi="Calibri" w:cs="Calibri"/>
              </w:rPr>
            </w:pPr>
            <w:r>
              <w:rPr>
                <w:rFonts w:ascii="Calibri" w:eastAsia="Calibri" w:hAnsi="Calibri" w:cs="Calibri"/>
              </w:rPr>
              <w:t>80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tabs>
                <w:tab w:val="right" w:leader="dot" w:pos="7371"/>
              </w:tabs>
              <w:suppressAutoHyphens/>
              <w:spacing w:after="0" w:line="240" w:lineRule="auto"/>
              <w:jc w:val="center"/>
            </w:pPr>
            <w:r>
              <w:rPr>
                <w:rFonts w:ascii="Times New Roman" w:eastAsia="Times New Roman" w:hAnsi="Times New Roman" w:cs="Times New Roman"/>
                <w:sz w:val="24"/>
              </w:rPr>
              <w:t>140,00</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rPr>
                <w:rFonts w:ascii="Times New Roman" w:eastAsia="Times New Roman" w:hAnsi="Times New Roman" w:cs="Times New Roman"/>
                <w:sz w:val="24"/>
              </w:rPr>
            </w:pPr>
          </w:p>
          <w:p w:rsidR="002B19E9" w:rsidRDefault="002B19E9" w:rsidP="008A5BE8">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rPr>
                <w:rFonts w:ascii="Calibri" w:eastAsia="Calibri" w:hAnsi="Calibri" w:cs="Calibri"/>
              </w:rPr>
            </w:pPr>
          </w:p>
        </w:tc>
      </w:tr>
      <w:tr w:rsidR="002B19E9" w:rsidTr="002B19E9">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tabs>
                <w:tab w:val="right" w:leader="dot" w:pos="7371"/>
              </w:tabs>
              <w:suppressAutoHyphens/>
              <w:spacing w:after="0" w:line="240" w:lineRule="auto"/>
              <w:jc w:val="center"/>
              <w:rPr>
                <w:rFonts w:ascii="Calibri" w:eastAsia="Calibri" w:hAnsi="Calibri" w:cs="Calibri"/>
              </w:rPr>
            </w:pPr>
            <w:r>
              <w:rPr>
                <w:rFonts w:ascii="Calibri" w:eastAsia="Calibri" w:hAnsi="Calibri" w:cs="Calibri"/>
              </w:rPr>
              <w:t>100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tabs>
                <w:tab w:val="right" w:leader="dot" w:pos="7371"/>
              </w:tabs>
              <w:suppressAutoHyphens/>
              <w:spacing w:after="0" w:line="240" w:lineRule="auto"/>
              <w:jc w:val="center"/>
            </w:pPr>
            <w:r>
              <w:rPr>
                <w:rFonts w:ascii="Times New Roman" w:eastAsia="Times New Roman" w:hAnsi="Times New Roman" w:cs="Times New Roman"/>
                <w:sz w:val="24"/>
              </w:rPr>
              <w:t>120,00</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rPr>
                <w:rFonts w:ascii="Times New Roman" w:eastAsia="Times New Roman" w:hAnsi="Times New Roman" w:cs="Times New Roman"/>
                <w:sz w:val="24"/>
              </w:rPr>
            </w:pPr>
          </w:p>
          <w:p w:rsidR="002B19E9" w:rsidRDefault="002B19E9" w:rsidP="008A5BE8">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rPr>
                <w:rFonts w:ascii="Calibri" w:eastAsia="Calibri" w:hAnsi="Calibri" w:cs="Calibri"/>
              </w:rPr>
            </w:pPr>
          </w:p>
        </w:tc>
      </w:tr>
      <w:tr w:rsidR="002B19E9" w:rsidTr="002B19E9">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tabs>
                <w:tab w:val="right" w:leader="dot" w:pos="7371"/>
              </w:tabs>
              <w:suppressAutoHyphens/>
              <w:spacing w:after="0" w:line="240" w:lineRule="auto"/>
              <w:jc w:val="center"/>
              <w:rPr>
                <w:rFonts w:ascii="Calibri" w:eastAsia="Calibri" w:hAnsi="Calibri" w:cs="Calibri"/>
              </w:rPr>
            </w:pPr>
            <w:r>
              <w:rPr>
                <w:rFonts w:ascii="Calibri" w:eastAsia="Calibri" w:hAnsi="Calibri" w:cs="Calibri"/>
              </w:rPr>
              <w:t>120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tabs>
                <w:tab w:val="right" w:leader="dot" w:pos="7371"/>
              </w:tabs>
              <w:suppressAutoHyphens/>
              <w:spacing w:after="0" w:line="240" w:lineRule="auto"/>
              <w:jc w:val="center"/>
            </w:pPr>
            <w:r>
              <w:rPr>
                <w:rFonts w:ascii="Times New Roman" w:eastAsia="Times New Roman" w:hAnsi="Times New Roman" w:cs="Times New Roman"/>
                <w:sz w:val="24"/>
              </w:rPr>
              <w:t>100,00</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rPr>
                <w:rFonts w:ascii="Times New Roman" w:eastAsia="Times New Roman" w:hAnsi="Times New Roman" w:cs="Times New Roman"/>
                <w:sz w:val="24"/>
              </w:rPr>
            </w:pPr>
          </w:p>
          <w:p w:rsidR="002B19E9" w:rsidRDefault="002B19E9" w:rsidP="008A5BE8">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rPr>
                <w:rFonts w:ascii="Calibri" w:eastAsia="Calibri" w:hAnsi="Calibri" w:cs="Calibri"/>
              </w:rPr>
            </w:pPr>
          </w:p>
        </w:tc>
      </w:tr>
      <w:tr w:rsidR="002B19E9" w:rsidTr="002B19E9">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pPr>
            <w:r>
              <w:rPr>
                <w:rFonts w:ascii="Times New Roman" w:eastAsia="Times New Roman" w:hAnsi="Times New Roman" w:cs="Times New Roman"/>
                <w:sz w:val="24"/>
              </w:rPr>
              <w:t>U K U P N 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rPr>
                <w:rFonts w:ascii="Calibri" w:eastAsia="Calibri" w:hAnsi="Calibri" w:cs="Calibri"/>
              </w:rPr>
            </w:pPr>
            <w:r>
              <w:rPr>
                <w:rFonts w:ascii="Calibri" w:eastAsia="Calibri" w:hAnsi="Calibri" w:cs="Calibri"/>
              </w:rPr>
              <w:t>300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rPr>
                <w:rFonts w:ascii="Calibri" w:eastAsia="Calibri" w:hAnsi="Calibri" w:cs="Calibri"/>
              </w:rPr>
            </w:pPr>
            <w:r>
              <w:rPr>
                <w:rFonts w:ascii="Calibri" w:eastAsia="Calibri" w:hAnsi="Calibri" w:cs="Calibri"/>
              </w:rPr>
              <w:t>35 200,00</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19E9" w:rsidRDefault="002B19E9" w:rsidP="008A5BE8">
            <w:pPr>
              <w:suppressAutoHyphens/>
              <w:spacing w:after="0" w:line="240" w:lineRule="auto"/>
              <w:jc w:val="center"/>
              <w:rPr>
                <w:rFonts w:ascii="Calibri" w:eastAsia="Calibri" w:hAnsi="Calibri" w:cs="Calibri"/>
              </w:rPr>
            </w:pPr>
          </w:p>
        </w:tc>
      </w:tr>
    </w:tbl>
    <w:p w:rsidR="002B19E9" w:rsidRDefault="002B19E9">
      <w:pPr>
        <w:suppressAutoHyphens/>
        <w:spacing w:after="0" w:line="240" w:lineRule="auto"/>
        <w:jc w:val="center"/>
        <w:rPr>
          <w:rFonts w:ascii="Times New Roman" w:eastAsia="Times New Roman" w:hAnsi="Times New Roman" w:cs="Times New Roman"/>
          <w:sz w:val="24"/>
        </w:rPr>
      </w:pPr>
    </w:p>
    <w:p w:rsidR="009C7107" w:rsidRDefault="002B19E9">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 koliko se prilikom realizacije ugovora pojavi određena količina “F” i “L” trupaca bukve ponuđač je dužan preuzeti tu količinu “F” i “L” trupaca Bukve po cjenovniku JP ŠPD ZDK d.o.o. Zavidovići (“F” trupci po cijeni 350,00 KM/m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i “L” trupci po cijeni 230,00 KM/m</w:t>
      </w:r>
      <w:r>
        <w:rPr>
          <w:rFonts w:ascii="Times New Roman" w:eastAsia="Times New Roman" w:hAnsi="Times New Roman" w:cs="Times New Roman"/>
          <w:sz w:val="24"/>
          <w:vertAlign w:val="superscript"/>
        </w:rPr>
        <w:t xml:space="preserve">3 </w:t>
      </w:r>
      <w:r>
        <w:rPr>
          <w:rFonts w:ascii="Times New Roman" w:eastAsia="Times New Roman" w:hAnsi="Times New Roman" w:cs="Times New Roman"/>
          <w:sz w:val="24"/>
        </w:rPr>
        <w:t xml:space="preserve">)  </w:t>
      </w:r>
    </w:p>
    <w:p w:rsidR="00301C02" w:rsidRDefault="00301C02">
      <w:pPr>
        <w:suppressAutoHyphens/>
        <w:spacing w:after="0" w:line="240" w:lineRule="auto"/>
        <w:jc w:val="center"/>
        <w:rPr>
          <w:rFonts w:ascii="Times New Roman" w:eastAsia="Times New Roman" w:hAnsi="Times New Roman" w:cs="Times New Roman"/>
          <w:sz w:val="24"/>
        </w:rPr>
      </w:pPr>
    </w:p>
    <w:p w:rsidR="00301C02" w:rsidRDefault="00301C02">
      <w:pPr>
        <w:suppressAutoHyphens/>
        <w:spacing w:after="0" w:line="240" w:lineRule="auto"/>
        <w:jc w:val="center"/>
        <w:rPr>
          <w:rFonts w:ascii="Times New Roman" w:eastAsia="Times New Roman" w:hAnsi="Times New Roman" w:cs="Times New Roman"/>
          <w:sz w:val="24"/>
        </w:rPr>
      </w:pPr>
    </w:p>
    <w:p w:rsidR="00711FA2" w:rsidRDefault="00711FA2">
      <w:pPr>
        <w:suppressAutoHyphens/>
        <w:spacing w:after="0" w:line="240" w:lineRule="auto"/>
        <w:jc w:val="center"/>
        <w:rPr>
          <w:rFonts w:ascii="Times New Roman" w:eastAsia="Times New Roman" w:hAnsi="Times New Roman" w:cs="Times New Roman"/>
          <w:sz w:val="24"/>
        </w:rPr>
      </w:pPr>
    </w:p>
    <w:p w:rsidR="00711FA2" w:rsidRDefault="00711FA2" w:rsidP="00711FA2">
      <w:pPr>
        <w:suppressAutoHyphens/>
        <w:spacing w:after="0" w:line="240" w:lineRule="auto"/>
        <w:jc w:val="center"/>
        <w:rPr>
          <w:rFonts w:ascii="Times New Roman" w:eastAsia="Times New Roman" w:hAnsi="Times New Roman" w:cs="Times New Roman"/>
          <w:b/>
          <w:i/>
          <w:sz w:val="24"/>
        </w:rPr>
      </w:pPr>
    </w:p>
    <w:p w:rsidR="00711FA2" w:rsidRDefault="00711FA2" w:rsidP="00711FA2">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Lot  2. Prodaja drvnih sortimenata bukve „na paritetu tvrdi put“ PJ “Šumarija “ Vareš</w:t>
      </w:r>
    </w:p>
    <w:p w:rsidR="00711FA2" w:rsidRDefault="00711FA2" w:rsidP="00711FA2">
      <w:pPr>
        <w:suppressAutoHyphens/>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1264"/>
        <w:gridCol w:w="1254"/>
        <w:gridCol w:w="1143"/>
        <w:gridCol w:w="698"/>
        <w:gridCol w:w="1481"/>
        <w:gridCol w:w="1668"/>
        <w:gridCol w:w="1682"/>
      </w:tblGrid>
      <w:tr w:rsidR="00711FA2" w:rsidTr="006B3716">
        <w:trPr>
          <w:trHeight w:val="1"/>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Vrsta drveta</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Sortimenti i klase</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Jed.mjere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Ukupna vrijednost bez PDV-a</w:t>
            </w:r>
          </w:p>
        </w:tc>
      </w:tr>
      <w:tr w:rsidR="00711FA2" w:rsidTr="006B3716">
        <w:trPr>
          <w:trHeight w:val="1"/>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1</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2</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3</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6</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7</w:t>
            </w:r>
          </w:p>
        </w:tc>
      </w:tr>
      <w:tr w:rsidR="00711FA2" w:rsidTr="006B3716">
        <w:trPr>
          <w:trHeight w:val="1"/>
        </w:trPr>
        <w:tc>
          <w:tcPr>
            <w:tcW w:w="15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Bukva</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I</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140,00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Times New Roman" w:eastAsia="Times New Roman" w:hAnsi="Times New Roman" w:cs="Times New Roman"/>
                <w:sz w:val="24"/>
              </w:rPr>
            </w:pPr>
          </w:p>
          <w:p w:rsidR="00711FA2" w:rsidRDefault="00711FA2" w:rsidP="006B3716">
            <w:pPr>
              <w:suppressAutoHyphens/>
              <w:spacing w:after="0" w:line="240" w:lineRule="auto"/>
              <w:jc w:val="cente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Calibri" w:eastAsia="Calibri" w:hAnsi="Calibri" w:cs="Calibri"/>
              </w:rPr>
            </w:pPr>
          </w:p>
        </w:tc>
      </w:tr>
      <w:tr w:rsidR="00711FA2" w:rsidTr="006B3716">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II</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70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120,00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Times New Roman" w:eastAsia="Times New Roman" w:hAnsi="Times New Roman" w:cs="Times New Roman"/>
                <w:sz w:val="24"/>
              </w:rPr>
            </w:pPr>
          </w:p>
          <w:p w:rsidR="00711FA2" w:rsidRDefault="00711FA2" w:rsidP="006B3716">
            <w:pPr>
              <w:suppressAutoHyphens/>
              <w:spacing w:after="0" w:line="240" w:lineRule="auto"/>
              <w:jc w:val="cente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Calibri" w:eastAsia="Calibri" w:hAnsi="Calibri" w:cs="Calibri"/>
              </w:rPr>
            </w:pPr>
          </w:p>
        </w:tc>
      </w:tr>
      <w:tr w:rsidR="00711FA2" w:rsidTr="006B3716">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III</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80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100,00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Times New Roman" w:eastAsia="Times New Roman" w:hAnsi="Times New Roman" w:cs="Times New Roman"/>
                <w:sz w:val="24"/>
              </w:rPr>
            </w:pPr>
          </w:p>
          <w:p w:rsidR="00711FA2" w:rsidRDefault="00711FA2" w:rsidP="006B3716">
            <w:pPr>
              <w:suppressAutoHyphens/>
              <w:spacing w:after="0" w:line="240" w:lineRule="auto"/>
              <w:jc w:val="cente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Calibri" w:eastAsia="Calibri" w:hAnsi="Calibri" w:cs="Calibri"/>
              </w:rPr>
            </w:pPr>
          </w:p>
        </w:tc>
      </w:tr>
      <w:tr w:rsidR="00711FA2" w:rsidTr="006B3716">
        <w:trPr>
          <w:trHeight w:val="1"/>
        </w:trPr>
        <w:tc>
          <w:tcPr>
            <w:tcW w:w="37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U K U P N O</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200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23 400,00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rPr>
                <w:rFonts w:ascii="Calibri" w:eastAsia="Calibri" w:hAnsi="Calibri" w:cs="Calibri"/>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Calibri" w:eastAsia="Calibri" w:hAnsi="Calibri" w:cs="Calibri"/>
              </w:rPr>
            </w:pPr>
          </w:p>
        </w:tc>
      </w:tr>
    </w:tbl>
    <w:p w:rsidR="00711FA2" w:rsidRDefault="00711FA2" w:rsidP="00711FA2">
      <w:pPr>
        <w:suppressAutoHyphens/>
        <w:spacing w:after="0" w:line="240" w:lineRule="auto"/>
        <w:rPr>
          <w:rFonts w:ascii="Times New Roman" w:eastAsia="Times New Roman" w:hAnsi="Times New Roman" w:cs="Times New Roman"/>
          <w:b/>
          <w:sz w:val="24"/>
        </w:rPr>
      </w:pPr>
    </w:p>
    <w:p w:rsidR="00711FA2" w:rsidRDefault="00711FA2" w:rsidP="00711FA2">
      <w:pPr>
        <w:suppressAutoHyphens/>
        <w:spacing w:after="0" w:line="240" w:lineRule="auto"/>
        <w:rPr>
          <w:rFonts w:ascii="Times New Roman" w:eastAsia="Times New Roman" w:hAnsi="Times New Roman" w:cs="Times New Roman"/>
          <w:b/>
          <w:sz w:val="24"/>
        </w:rPr>
      </w:pPr>
    </w:p>
    <w:p w:rsidR="00711FA2" w:rsidRDefault="00711FA2" w:rsidP="00711FA2">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 koliko se prilikom realizacije ugovora pojavi određena količina “F” i “L” trupaca bukve ponuđač je dužan preuzeti tu količinu “F” i “L” trupaca Bukve po cjenovniku JP ŠPD ZDK d.o.o. Zavidovići (“F” trupci po cijeni 350,00 KM/m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i “L” trupci po cijeni 230,00 KM/m</w:t>
      </w:r>
      <w:r>
        <w:rPr>
          <w:rFonts w:ascii="Times New Roman" w:eastAsia="Times New Roman" w:hAnsi="Times New Roman" w:cs="Times New Roman"/>
          <w:sz w:val="24"/>
          <w:vertAlign w:val="superscript"/>
        </w:rPr>
        <w:t xml:space="preserve">3 </w:t>
      </w:r>
      <w:r>
        <w:rPr>
          <w:rFonts w:ascii="Times New Roman" w:eastAsia="Times New Roman" w:hAnsi="Times New Roman" w:cs="Times New Roman"/>
          <w:sz w:val="24"/>
        </w:rPr>
        <w:t xml:space="preserve">)  </w:t>
      </w:r>
    </w:p>
    <w:p w:rsidR="00711FA2" w:rsidRDefault="00711FA2">
      <w:pPr>
        <w:suppressAutoHyphens/>
        <w:spacing w:after="0" w:line="240" w:lineRule="auto"/>
        <w:jc w:val="center"/>
        <w:rPr>
          <w:rFonts w:ascii="Times New Roman" w:eastAsia="Times New Roman" w:hAnsi="Times New Roman" w:cs="Times New Roman"/>
          <w:sz w:val="24"/>
        </w:rPr>
      </w:pPr>
    </w:p>
    <w:p w:rsidR="00711FA2" w:rsidRDefault="00711FA2">
      <w:pPr>
        <w:suppressAutoHyphens/>
        <w:spacing w:after="0" w:line="240" w:lineRule="auto"/>
        <w:jc w:val="center"/>
        <w:rPr>
          <w:rFonts w:ascii="Times New Roman" w:eastAsia="Times New Roman" w:hAnsi="Times New Roman" w:cs="Times New Roman"/>
          <w:sz w:val="24"/>
        </w:rPr>
      </w:pPr>
    </w:p>
    <w:p w:rsidR="00711FA2" w:rsidRDefault="00711FA2">
      <w:pPr>
        <w:suppressAutoHyphens/>
        <w:spacing w:after="0" w:line="240" w:lineRule="auto"/>
        <w:jc w:val="center"/>
        <w:rPr>
          <w:rFonts w:ascii="Times New Roman" w:eastAsia="Times New Roman" w:hAnsi="Times New Roman" w:cs="Times New Roman"/>
          <w:sz w:val="24"/>
        </w:rPr>
      </w:pPr>
    </w:p>
    <w:p w:rsidR="00711FA2" w:rsidRDefault="00711FA2">
      <w:pPr>
        <w:suppressAutoHyphens/>
        <w:spacing w:after="0" w:line="240" w:lineRule="auto"/>
        <w:jc w:val="center"/>
        <w:rPr>
          <w:rFonts w:ascii="Times New Roman" w:eastAsia="Times New Roman" w:hAnsi="Times New Roman" w:cs="Times New Roman"/>
          <w:sz w:val="24"/>
        </w:rPr>
      </w:pPr>
    </w:p>
    <w:p w:rsidR="00711FA2" w:rsidRDefault="00711FA2">
      <w:pPr>
        <w:suppressAutoHyphens/>
        <w:spacing w:after="0" w:line="240" w:lineRule="auto"/>
        <w:jc w:val="center"/>
        <w:rPr>
          <w:rFonts w:ascii="Times New Roman" w:eastAsia="Times New Roman" w:hAnsi="Times New Roman" w:cs="Times New Roman"/>
          <w:sz w:val="24"/>
        </w:rPr>
      </w:pPr>
    </w:p>
    <w:p w:rsidR="00711FA2" w:rsidRDefault="00711FA2" w:rsidP="00711FA2">
      <w:pPr>
        <w:suppressAutoHyphens/>
        <w:spacing w:after="0" w:line="240" w:lineRule="auto"/>
        <w:jc w:val="center"/>
        <w:rPr>
          <w:rFonts w:ascii="Times New Roman" w:eastAsia="Times New Roman" w:hAnsi="Times New Roman" w:cs="Times New Roman"/>
          <w:b/>
          <w:i/>
          <w:sz w:val="24"/>
        </w:rPr>
      </w:pPr>
    </w:p>
    <w:p w:rsidR="00711FA2" w:rsidRDefault="00711FA2" w:rsidP="00711FA2">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Lot  3. Prodaja drvnih sortimenata bukve „na paritetu tvrdi put“ PJ “Šumarija “ Tešanj</w:t>
      </w:r>
    </w:p>
    <w:p w:rsidR="00711FA2" w:rsidRDefault="00711FA2" w:rsidP="00711FA2">
      <w:pPr>
        <w:suppressAutoHyphens/>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1264"/>
        <w:gridCol w:w="1254"/>
        <w:gridCol w:w="1143"/>
        <w:gridCol w:w="698"/>
        <w:gridCol w:w="1481"/>
        <w:gridCol w:w="1668"/>
        <w:gridCol w:w="1682"/>
      </w:tblGrid>
      <w:tr w:rsidR="00711FA2" w:rsidTr="006B3716">
        <w:trPr>
          <w:trHeight w:val="1"/>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Vrsta drveta</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Sortimenti i klase</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Jed.mjere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Ukupna vrijednost bez PDV-a</w:t>
            </w:r>
          </w:p>
        </w:tc>
      </w:tr>
      <w:tr w:rsidR="00711FA2" w:rsidTr="006B3716">
        <w:trPr>
          <w:trHeight w:val="1"/>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1</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2</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3</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6</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16"/>
              </w:rPr>
              <w:t>7</w:t>
            </w:r>
          </w:p>
        </w:tc>
      </w:tr>
      <w:tr w:rsidR="00711FA2" w:rsidTr="006B3716">
        <w:trPr>
          <w:trHeight w:val="1"/>
        </w:trPr>
        <w:tc>
          <w:tcPr>
            <w:tcW w:w="15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Bukva</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I</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140,00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Times New Roman" w:eastAsia="Times New Roman" w:hAnsi="Times New Roman" w:cs="Times New Roman"/>
                <w:sz w:val="24"/>
              </w:rPr>
            </w:pPr>
          </w:p>
          <w:p w:rsidR="00711FA2" w:rsidRDefault="00711FA2" w:rsidP="006B3716">
            <w:pPr>
              <w:suppressAutoHyphens/>
              <w:spacing w:after="0" w:line="240" w:lineRule="auto"/>
              <w:jc w:val="cente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Calibri" w:eastAsia="Calibri" w:hAnsi="Calibri" w:cs="Calibri"/>
              </w:rPr>
            </w:pPr>
          </w:p>
        </w:tc>
      </w:tr>
      <w:tr w:rsidR="00711FA2" w:rsidTr="006B3716">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II</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70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120,00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Times New Roman" w:eastAsia="Times New Roman" w:hAnsi="Times New Roman" w:cs="Times New Roman"/>
                <w:sz w:val="24"/>
              </w:rPr>
            </w:pPr>
          </w:p>
          <w:p w:rsidR="00711FA2" w:rsidRDefault="00711FA2" w:rsidP="006B3716">
            <w:pPr>
              <w:suppressAutoHyphens/>
              <w:spacing w:after="0" w:line="240" w:lineRule="auto"/>
              <w:jc w:val="cente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Calibri" w:eastAsia="Calibri" w:hAnsi="Calibri" w:cs="Calibri"/>
              </w:rPr>
            </w:pPr>
          </w:p>
        </w:tc>
      </w:tr>
      <w:tr w:rsidR="00711FA2" w:rsidTr="006B3716">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III</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80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pPr>
            <w:r>
              <w:rPr>
                <w:rFonts w:ascii="Times New Roman" w:eastAsia="Times New Roman" w:hAnsi="Times New Roman" w:cs="Times New Roman"/>
                <w:sz w:val="24"/>
              </w:rPr>
              <w:t>100,00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Times New Roman" w:eastAsia="Times New Roman" w:hAnsi="Times New Roman" w:cs="Times New Roman"/>
                <w:sz w:val="24"/>
              </w:rPr>
            </w:pPr>
          </w:p>
          <w:p w:rsidR="00711FA2" w:rsidRDefault="00711FA2" w:rsidP="006B3716">
            <w:pPr>
              <w:suppressAutoHyphens/>
              <w:spacing w:after="0" w:line="240" w:lineRule="auto"/>
              <w:jc w:val="cente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Calibri" w:eastAsia="Calibri" w:hAnsi="Calibri" w:cs="Calibri"/>
              </w:rPr>
            </w:pPr>
          </w:p>
        </w:tc>
      </w:tr>
      <w:tr w:rsidR="00711FA2" w:rsidTr="006B3716">
        <w:trPr>
          <w:trHeight w:val="1"/>
        </w:trPr>
        <w:tc>
          <w:tcPr>
            <w:tcW w:w="37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U K U P N O</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200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pPr>
            <w:r>
              <w:rPr>
                <w:rFonts w:ascii="Times New Roman" w:eastAsia="Times New Roman" w:hAnsi="Times New Roman" w:cs="Times New Roman"/>
                <w:sz w:val="24"/>
              </w:rPr>
              <w:t>23 400,00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tabs>
                <w:tab w:val="right" w:leader="dot" w:pos="7371"/>
              </w:tabs>
              <w:suppressAutoHyphens/>
              <w:spacing w:after="0" w:line="240" w:lineRule="auto"/>
              <w:jc w:val="center"/>
              <w:rPr>
                <w:rFonts w:ascii="Calibri" w:eastAsia="Calibri" w:hAnsi="Calibri" w:cs="Calibri"/>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1FA2" w:rsidRDefault="00711FA2" w:rsidP="006B3716">
            <w:pPr>
              <w:suppressAutoHyphens/>
              <w:spacing w:after="0" w:line="240" w:lineRule="auto"/>
              <w:jc w:val="center"/>
              <w:rPr>
                <w:rFonts w:ascii="Calibri" w:eastAsia="Calibri" w:hAnsi="Calibri" w:cs="Calibri"/>
              </w:rPr>
            </w:pPr>
          </w:p>
        </w:tc>
      </w:tr>
    </w:tbl>
    <w:p w:rsidR="00711FA2" w:rsidRDefault="00711FA2" w:rsidP="00711FA2">
      <w:pPr>
        <w:suppressAutoHyphens/>
        <w:spacing w:after="0" w:line="240" w:lineRule="auto"/>
        <w:rPr>
          <w:rFonts w:ascii="Times New Roman" w:eastAsia="Times New Roman" w:hAnsi="Times New Roman" w:cs="Times New Roman"/>
          <w:b/>
          <w:sz w:val="24"/>
        </w:rPr>
      </w:pPr>
    </w:p>
    <w:p w:rsidR="00711FA2" w:rsidRDefault="00711FA2" w:rsidP="00711FA2">
      <w:pPr>
        <w:suppressAutoHyphens/>
        <w:spacing w:after="0" w:line="240" w:lineRule="auto"/>
        <w:rPr>
          <w:rFonts w:ascii="Times New Roman" w:eastAsia="Times New Roman" w:hAnsi="Times New Roman" w:cs="Times New Roman"/>
          <w:b/>
          <w:sz w:val="24"/>
        </w:rPr>
      </w:pPr>
    </w:p>
    <w:p w:rsidR="00711FA2" w:rsidRDefault="00711FA2" w:rsidP="00711FA2">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 koliko se prilikom realizacije ugovora pojavi određena količina “F” i “L” trupaca bukve ponuđač je dužan preuzeti tu količinu “F” i “L” trupaca Bukve po cjenovniku JP ŠPD ZDK d.o.o. Zavidovići (“F” trupci po cijeni 350,00 KM/m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i “L” trupci po cijeni 230,00 KM/m</w:t>
      </w:r>
      <w:r>
        <w:rPr>
          <w:rFonts w:ascii="Times New Roman" w:eastAsia="Times New Roman" w:hAnsi="Times New Roman" w:cs="Times New Roman"/>
          <w:sz w:val="24"/>
          <w:vertAlign w:val="superscript"/>
        </w:rPr>
        <w:t xml:space="preserve">3 </w:t>
      </w:r>
      <w:r>
        <w:rPr>
          <w:rFonts w:ascii="Times New Roman" w:eastAsia="Times New Roman" w:hAnsi="Times New Roman" w:cs="Times New Roman"/>
          <w:sz w:val="24"/>
        </w:rPr>
        <w:t xml:space="preserve">)  </w:t>
      </w:r>
    </w:p>
    <w:p w:rsidR="00711FA2" w:rsidRDefault="00711FA2">
      <w:pPr>
        <w:suppressAutoHyphens/>
        <w:spacing w:after="0" w:line="240" w:lineRule="auto"/>
        <w:jc w:val="center"/>
        <w:rPr>
          <w:rFonts w:ascii="Times New Roman" w:eastAsia="Times New Roman" w:hAnsi="Times New Roman" w:cs="Times New Roman"/>
          <w:sz w:val="24"/>
        </w:rPr>
      </w:pPr>
    </w:p>
    <w:p w:rsidR="00711FA2" w:rsidRDefault="00711FA2">
      <w:pPr>
        <w:suppressAutoHyphens/>
        <w:spacing w:after="0" w:line="240" w:lineRule="auto"/>
        <w:jc w:val="center"/>
        <w:rPr>
          <w:rFonts w:ascii="Times New Roman" w:eastAsia="Times New Roman" w:hAnsi="Times New Roman" w:cs="Times New Roman"/>
          <w:sz w:val="24"/>
        </w:rPr>
      </w:pPr>
    </w:p>
    <w:p w:rsidR="00711FA2" w:rsidRDefault="00711FA2">
      <w:pPr>
        <w:suppressAutoHyphens/>
        <w:spacing w:after="0" w:line="240" w:lineRule="auto"/>
        <w:jc w:val="center"/>
        <w:rPr>
          <w:rFonts w:ascii="Times New Roman" w:eastAsia="Times New Roman" w:hAnsi="Times New Roman" w:cs="Times New Roman"/>
          <w:sz w:val="24"/>
        </w:rPr>
      </w:pPr>
    </w:p>
    <w:p w:rsidR="00301C02" w:rsidRDefault="00301C02">
      <w:pPr>
        <w:suppressAutoHyphens/>
        <w:spacing w:after="0" w:line="240" w:lineRule="auto"/>
        <w:jc w:val="center"/>
        <w:rPr>
          <w:rFonts w:ascii="Times New Roman" w:eastAsia="Times New Roman" w:hAnsi="Times New Roman" w:cs="Times New Roman"/>
          <w:b/>
          <w:i/>
          <w:sz w:val="24"/>
        </w:rPr>
      </w:pPr>
    </w:p>
    <w:p w:rsidR="00301C02" w:rsidRPr="00046CBB" w:rsidRDefault="00301C02" w:rsidP="00301C02">
      <w:pPr>
        <w:pStyle w:val="BodyText"/>
        <w:tabs>
          <w:tab w:val="left" w:pos="2694"/>
        </w:tabs>
        <w:jc w:val="both"/>
        <w:rPr>
          <w:i/>
          <w:sz w:val="24"/>
          <w:szCs w:val="24"/>
        </w:rPr>
      </w:pPr>
      <w:r>
        <w:rPr>
          <w:i/>
          <w:sz w:val="24"/>
          <w:szCs w:val="24"/>
        </w:rPr>
        <w:t xml:space="preserve">LOT </w:t>
      </w:r>
      <w:r w:rsidR="00711FA2">
        <w:rPr>
          <w:i/>
          <w:sz w:val="24"/>
          <w:szCs w:val="24"/>
        </w:rPr>
        <w:t>4</w:t>
      </w:r>
      <w:r>
        <w:rPr>
          <w:i/>
          <w:sz w:val="24"/>
          <w:szCs w:val="24"/>
        </w:rPr>
        <w:t xml:space="preserve">- </w:t>
      </w:r>
      <w:r w:rsidRPr="007B1727">
        <w:rPr>
          <w:b w:val="0"/>
          <w:sz w:val="24"/>
          <w:szCs w:val="24"/>
        </w:rPr>
        <w:t xml:space="preserve">Prodaje </w:t>
      </w:r>
      <w:r w:rsidRPr="007B1727">
        <w:rPr>
          <w:sz w:val="24"/>
          <w:szCs w:val="24"/>
        </w:rPr>
        <w:t xml:space="preserve">drvnih sortimenata </w:t>
      </w:r>
      <w:r>
        <w:rPr>
          <w:sz w:val="24"/>
          <w:szCs w:val="24"/>
        </w:rPr>
        <w:t xml:space="preserve">hrasta </w:t>
      </w:r>
      <w:r w:rsidRPr="007B1727">
        <w:rPr>
          <w:b w:val="0"/>
          <w:sz w:val="24"/>
          <w:szCs w:val="24"/>
        </w:rPr>
        <w:t>„na paritetu tvrdi put“</w:t>
      </w:r>
      <w:r>
        <w:rPr>
          <w:b w:val="0"/>
          <w:sz w:val="24"/>
          <w:szCs w:val="24"/>
        </w:rPr>
        <w:t>na području JP“ŠPD ZDK d.o.o.Zavidovići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1269"/>
        <w:gridCol w:w="710"/>
        <w:gridCol w:w="737"/>
        <w:gridCol w:w="1551"/>
        <w:gridCol w:w="1809"/>
        <w:gridCol w:w="1820"/>
      </w:tblGrid>
      <w:tr w:rsidR="00301C02" w:rsidRPr="00FA577A" w:rsidTr="00301C02">
        <w:tc>
          <w:tcPr>
            <w:tcW w:w="749" w:type="pct"/>
            <w:vAlign w:val="center"/>
          </w:tcPr>
          <w:p w:rsidR="00301C02" w:rsidRPr="00FA577A" w:rsidRDefault="00301C02" w:rsidP="00834D94">
            <w:pPr>
              <w:jc w:val="center"/>
              <w:rPr>
                <w:sz w:val="24"/>
                <w:szCs w:val="24"/>
              </w:rPr>
            </w:pPr>
            <w:r w:rsidRPr="00FA577A">
              <w:rPr>
                <w:sz w:val="24"/>
                <w:szCs w:val="24"/>
              </w:rPr>
              <w:t>Vrstadrveta</w:t>
            </w:r>
          </w:p>
        </w:tc>
        <w:tc>
          <w:tcPr>
            <w:tcW w:w="683" w:type="pct"/>
            <w:vAlign w:val="center"/>
          </w:tcPr>
          <w:p w:rsidR="00301C02" w:rsidRPr="00FA577A" w:rsidRDefault="00301C02" w:rsidP="00834D94">
            <w:pPr>
              <w:jc w:val="center"/>
              <w:rPr>
                <w:sz w:val="24"/>
                <w:szCs w:val="24"/>
              </w:rPr>
            </w:pPr>
            <w:r w:rsidRPr="00FA577A">
              <w:rPr>
                <w:sz w:val="24"/>
                <w:szCs w:val="24"/>
              </w:rPr>
              <w:t>Sortimenti i klase</w:t>
            </w:r>
          </w:p>
        </w:tc>
        <w:tc>
          <w:tcPr>
            <w:tcW w:w="382" w:type="pct"/>
            <w:vAlign w:val="center"/>
          </w:tcPr>
          <w:p w:rsidR="00301C02" w:rsidRPr="00FA577A" w:rsidRDefault="00301C02" w:rsidP="00834D94">
            <w:pPr>
              <w:jc w:val="center"/>
              <w:rPr>
                <w:sz w:val="24"/>
                <w:szCs w:val="24"/>
              </w:rPr>
            </w:pPr>
            <w:r w:rsidRPr="00FA577A">
              <w:rPr>
                <w:sz w:val="24"/>
                <w:szCs w:val="24"/>
              </w:rPr>
              <w:t>Jed.mjere</w:t>
            </w:r>
          </w:p>
        </w:tc>
        <w:tc>
          <w:tcPr>
            <w:tcW w:w="397" w:type="pct"/>
            <w:vAlign w:val="center"/>
          </w:tcPr>
          <w:p w:rsidR="00301C02" w:rsidRPr="00FA577A" w:rsidRDefault="00301C02" w:rsidP="00834D94">
            <w:pPr>
              <w:jc w:val="center"/>
              <w:rPr>
                <w:sz w:val="24"/>
                <w:szCs w:val="24"/>
              </w:rPr>
            </w:pPr>
            <w:r w:rsidRPr="00FA577A">
              <w:rPr>
                <w:sz w:val="24"/>
                <w:szCs w:val="24"/>
              </w:rPr>
              <w:t>Neto</w:t>
            </w:r>
            <w:r w:rsidRPr="00FA577A">
              <w:rPr>
                <w:bCs/>
                <w:sz w:val="24"/>
                <w:szCs w:val="24"/>
                <w:lang w:val="hr-BA" w:eastAsia="hr-BA"/>
              </w:rPr>
              <w:t>m</w:t>
            </w:r>
            <w:r w:rsidRPr="00FA577A">
              <w:rPr>
                <w:bCs/>
                <w:sz w:val="24"/>
                <w:szCs w:val="24"/>
                <w:vertAlign w:val="superscript"/>
                <w:lang w:val="hr-BA" w:eastAsia="hr-BA"/>
              </w:rPr>
              <w:t>3</w:t>
            </w:r>
          </w:p>
        </w:tc>
        <w:tc>
          <w:tcPr>
            <w:tcW w:w="835" w:type="pct"/>
            <w:vAlign w:val="center"/>
          </w:tcPr>
          <w:p w:rsidR="00301C02" w:rsidRPr="00FA577A" w:rsidRDefault="00301C02" w:rsidP="00834D94">
            <w:pPr>
              <w:jc w:val="center"/>
              <w:rPr>
                <w:sz w:val="24"/>
                <w:szCs w:val="24"/>
              </w:rPr>
            </w:pPr>
            <w:r w:rsidRPr="00FA577A">
              <w:rPr>
                <w:sz w:val="24"/>
                <w:szCs w:val="24"/>
              </w:rPr>
              <w:t>Jedinična</w:t>
            </w:r>
            <w:r>
              <w:rPr>
                <w:sz w:val="24"/>
                <w:szCs w:val="24"/>
              </w:rPr>
              <w:t xml:space="preserve"> </w:t>
            </w:r>
            <w:r w:rsidRPr="00FA577A">
              <w:rPr>
                <w:sz w:val="24"/>
                <w:szCs w:val="24"/>
              </w:rPr>
              <w:t>poč.cjena KM/</w:t>
            </w:r>
            <w:r w:rsidRPr="00FA577A">
              <w:rPr>
                <w:bCs/>
                <w:sz w:val="24"/>
                <w:szCs w:val="24"/>
                <w:lang w:val="hr-BA" w:eastAsia="hr-BA"/>
              </w:rPr>
              <w:t xml:space="preserve"> m</w:t>
            </w:r>
            <w:r w:rsidRPr="00FA577A">
              <w:rPr>
                <w:bCs/>
                <w:sz w:val="24"/>
                <w:szCs w:val="24"/>
                <w:vertAlign w:val="superscript"/>
                <w:lang w:val="hr-BA" w:eastAsia="hr-BA"/>
              </w:rPr>
              <w:t>3</w:t>
            </w:r>
            <w:r w:rsidRPr="00FA577A">
              <w:rPr>
                <w:sz w:val="24"/>
                <w:szCs w:val="24"/>
              </w:rPr>
              <w:t>bez PDV-a</w:t>
            </w:r>
          </w:p>
        </w:tc>
        <w:tc>
          <w:tcPr>
            <w:tcW w:w="974" w:type="pct"/>
            <w:vAlign w:val="center"/>
          </w:tcPr>
          <w:p w:rsidR="00301C02" w:rsidRPr="00FA577A" w:rsidRDefault="00301C02" w:rsidP="00834D94">
            <w:pPr>
              <w:jc w:val="center"/>
              <w:rPr>
                <w:sz w:val="24"/>
                <w:szCs w:val="24"/>
              </w:rPr>
            </w:pPr>
            <w:r w:rsidRPr="00FA577A">
              <w:rPr>
                <w:sz w:val="24"/>
                <w:szCs w:val="24"/>
              </w:rPr>
              <w:t>Ponuđena</w:t>
            </w:r>
            <w:r>
              <w:rPr>
                <w:sz w:val="24"/>
                <w:szCs w:val="24"/>
              </w:rPr>
              <w:t xml:space="preserve"> </w:t>
            </w:r>
            <w:r w:rsidRPr="00FA577A">
              <w:rPr>
                <w:sz w:val="24"/>
                <w:szCs w:val="24"/>
              </w:rPr>
              <w:t>jed.cijena KM/</w:t>
            </w:r>
            <w:r w:rsidRPr="00FA577A">
              <w:rPr>
                <w:bCs/>
                <w:sz w:val="24"/>
                <w:szCs w:val="24"/>
                <w:lang w:val="hr-BA" w:eastAsia="hr-BA"/>
              </w:rPr>
              <w:t xml:space="preserve"> m</w:t>
            </w:r>
            <w:r w:rsidRPr="00FA577A">
              <w:rPr>
                <w:bCs/>
                <w:sz w:val="24"/>
                <w:szCs w:val="24"/>
                <w:vertAlign w:val="superscript"/>
                <w:lang w:val="hr-BA" w:eastAsia="hr-BA"/>
              </w:rPr>
              <w:t>3</w:t>
            </w:r>
            <w:r w:rsidRPr="00FA577A">
              <w:rPr>
                <w:sz w:val="24"/>
                <w:szCs w:val="24"/>
              </w:rPr>
              <w:t>bez PDV-a</w:t>
            </w:r>
          </w:p>
        </w:tc>
        <w:tc>
          <w:tcPr>
            <w:tcW w:w="981" w:type="pct"/>
            <w:vAlign w:val="center"/>
          </w:tcPr>
          <w:p w:rsidR="00301C02" w:rsidRPr="00FA577A" w:rsidRDefault="00301C02" w:rsidP="00834D94">
            <w:pPr>
              <w:jc w:val="center"/>
              <w:rPr>
                <w:sz w:val="24"/>
                <w:szCs w:val="24"/>
              </w:rPr>
            </w:pPr>
            <w:r w:rsidRPr="00FA577A">
              <w:rPr>
                <w:sz w:val="24"/>
                <w:szCs w:val="24"/>
              </w:rPr>
              <w:t>Ukupna</w:t>
            </w:r>
            <w:r>
              <w:rPr>
                <w:sz w:val="24"/>
                <w:szCs w:val="24"/>
              </w:rPr>
              <w:t xml:space="preserve"> </w:t>
            </w:r>
            <w:r w:rsidRPr="00FA577A">
              <w:rPr>
                <w:sz w:val="24"/>
                <w:szCs w:val="24"/>
              </w:rPr>
              <w:t>vrijednostbez PDV-a</w:t>
            </w:r>
          </w:p>
        </w:tc>
      </w:tr>
      <w:tr w:rsidR="00301C02" w:rsidRPr="00FA577A" w:rsidTr="00301C02">
        <w:tc>
          <w:tcPr>
            <w:tcW w:w="749" w:type="pct"/>
            <w:vAlign w:val="center"/>
          </w:tcPr>
          <w:p w:rsidR="00301C02" w:rsidRPr="00FA577A" w:rsidRDefault="00301C02" w:rsidP="00834D94">
            <w:pPr>
              <w:jc w:val="center"/>
              <w:rPr>
                <w:sz w:val="16"/>
                <w:szCs w:val="16"/>
              </w:rPr>
            </w:pPr>
            <w:r w:rsidRPr="00FA577A">
              <w:rPr>
                <w:sz w:val="16"/>
                <w:szCs w:val="16"/>
              </w:rPr>
              <w:t>1</w:t>
            </w:r>
          </w:p>
        </w:tc>
        <w:tc>
          <w:tcPr>
            <w:tcW w:w="683" w:type="pct"/>
            <w:vAlign w:val="center"/>
          </w:tcPr>
          <w:p w:rsidR="00301C02" w:rsidRPr="00FA577A" w:rsidRDefault="00301C02" w:rsidP="00834D94">
            <w:pPr>
              <w:jc w:val="center"/>
              <w:rPr>
                <w:sz w:val="16"/>
                <w:szCs w:val="16"/>
              </w:rPr>
            </w:pPr>
            <w:r w:rsidRPr="00FA577A">
              <w:rPr>
                <w:sz w:val="16"/>
                <w:szCs w:val="16"/>
              </w:rPr>
              <w:t>2</w:t>
            </w:r>
          </w:p>
        </w:tc>
        <w:tc>
          <w:tcPr>
            <w:tcW w:w="382" w:type="pct"/>
            <w:vAlign w:val="center"/>
          </w:tcPr>
          <w:p w:rsidR="00301C02" w:rsidRPr="00FA577A" w:rsidRDefault="00301C02" w:rsidP="00834D94">
            <w:pPr>
              <w:jc w:val="center"/>
              <w:rPr>
                <w:sz w:val="16"/>
                <w:szCs w:val="16"/>
              </w:rPr>
            </w:pPr>
            <w:r w:rsidRPr="00FA577A">
              <w:rPr>
                <w:sz w:val="16"/>
                <w:szCs w:val="16"/>
              </w:rPr>
              <w:t>3</w:t>
            </w:r>
          </w:p>
        </w:tc>
        <w:tc>
          <w:tcPr>
            <w:tcW w:w="397" w:type="pct"/>
            <w:vAlign w:val="center"/>
          </w:tcPr>
          <w:p w:rsidR="00301C02" w:rsidRPr="00FA577A" w:rsidRDefault="00301C02" w:rsidP="00834D94">
            <w:pPr>
              <w:jc w:val="center"/>
              <w:rPr>
                <w:sz w:val="16"/>
                <w:szCs w:val="16"/>
              </w:rPr>
            </w:pPr>
            <w:r w:rsidRPr="00FA577A">
              <w:rPr>
                <w:sz w:val="16"/>
                <w:szCs w:val="16"/>
              </w:rPr>
              <w:t>4</w:t>
            </w:r>
          </w:p>
        </w:tc>
        <w:tc>
          <w:tcPr>
            <w:tcW w:w="835" w:type="pct"/>
            <w:vAlign w:val="center"/>
          </w:tcPr>
          <w:p w:rsidR="00301C02" w:rsidRPr="00FA577A" w:rsidRDefault="00301C02" w:rsidP="00834D94">
            <w:pPr>
              <w:jc w:val="center"/>
              <w:rPr>
                <w:sz w:val="16"/>
                <w:szCs w:val="16"/>
              </w:rPr>
            </w:pPr>
            <w:r w:rsidRPr="00FA577A">
              <w:rPr>
                <w:sz w:val="16"/>
                <w:szCs w:val="16"/>
              </w:rPr>
              <w:t>5</w:t>
            </w:r>
          </w:p>
        </w:tc>
        <w:tc>
          <w:tcPr>
            <w:tcW w:w="974" w:type="pct"/>
            <w:vAlign w:val="center"/>
          </w:tcPr>
          <w:p w:rsidR="00301C02" w:rsidRPr="00FA577A" w:rsidRDefault="00301C02" w:rsidP="00834D94">
            <w:pPr>
              <w:jc w:val="center"/>
              <w:rPr>
                <w:sz w:val="16"/>
                <w:szCs w:val="16"/>
              </w:rPr>
            </w:pPr>
            <w:r w:rsidRPr="00FA577A">
              <w:rPr>
                <w:sz w:val="16"/>
                <w:szCs w:val="16"/>
              </w:rPr>
              <w:t>6</w:t>
            </w:r>
          </w:p>
        </w:tc>
        <w:tc>
          <w:tcPr>
            <w:tcW w:w="981" w:type="pct"/>
            <w:vAlign w:val="center"/>
          </w:tcPr>
          <w:p w:rsidR="00301C02" w:rsidRPr="00FA577A" w:rsidRDefault="00301C02" w:rsidP="00834D94">
            <w:pPr>
              <w:jc w:val="center"/>
              <w:rPr>
                <w:sz w:val="16"/>
                <w:szCs w:val="16"/>
              </w:rPr>
            </w:pPr>
            <w:r w:rsidRPr="00FA577A">
              <w:rPr>
                <w:sz w:val="16"/>
                <w:szCs w:val="16"/>
              </w:rPr>
              <w:t>7</w:t>
            </w:r>
          </w:p>
        </w:tc>
      </w:tr>
      <w:tr w:rsidR="00301C02" w:rsidRPr="00FA577A" w:rsidTr="00301C02">
        <w:tc>
          <w:tcPr>
            <w:tcW w:w="749" w:type="pct"/>
            <w:vMerge w:val="restart"/>
            <w:vAlign w:val="center"/>
          </w:tcPr>
          <w:p w:rsidR="00301C02" w:rsidRPr="00FA577A" w:rsidRDefault="00301C02" w:rsidP="00834D94">
            <w:pPr>
              <w:jc w:val="center"/>
              <w:rPr>
                <w:sz w:val="24"/>
                <w:szCs w:val="24"/>
              </w:rPr>
            </w:pPr>
            <w:r w:rsidRPr="00FA577A">
              <w:rPr>
                <w:sz w:val="24"/>
                <w:szCs w:val="24"/>
              </w:rPr>
              <w:t>Hrast</w:t>
            </w:r>
          </w:p>
        </w:tc>
        <w:tc>
          <w:tcPr>
            <w:tcW w:w="683" w:type="pct"/>
            <w:vAlign w:val="center"/>
          </w:tcPr>
          <w:p w:rsidR="00301C02" w:rsidRPr="00FA577A" w:rsidRDefault="00301C02" w:rsidP="00834D94">
            <w:pPr>
              <w:jc w:val="center"/>
              <w:rPr>
                <w:sz w:val="24"/>
                <w:szCs w:val="24"/>
              </w:rPr>
            </w:pPr>
            <w:r w:rsidRPr="00FA577A">
              <w:rPr>
                <w:sz w:val="24"/>
                <w:szCs w:val="24"/>
              </w:rPr>
              <w:t>I</w:t>
            </w:r>
          </w:p>
        </w:tc>
        <w:tc>
          <w:tcPr>
            <w:tcW w:w="382" w:type="pct"/>
            <w:vAlign w:val="center"/>
          </w:tcPr>
          <w:p w:rsidR="00301C02" w:rsidRPr="00FA577A" w:rsidRDefault="00301C02" w:rsidP="00834D94">
            <w:pPr>
              <w:jc w:val="center"/>
              <w:rPr>
                <w:sz w:val="24"/>
                <w:szCs w:val="24"/>
              </w:rPr>
            </w:pPr>
            <w:r w:rsidRPr="00FA577A">
              <w:rPr>
                <w:bCs/>
                <w:sz w:val="24"/>
                <w:szCs w:val="24"/>
                <w:lang w:val="hr-BA" w:eastAsia="hr-BA"/>
              </w:rPr>
              <w:t>m</w:t>
            </w:r>
            <w:r w:rsidRPr="00FA577A">
              <w:rPr>
                <w:bCs/>
                <w:sz w:val="24"/>
                <w:szCs w:val="24"/>
                <w:vertAlign w:val="superscript"/>
                <w:lang w:val="hr-BA" w:eastAsia="hr-BA"/>
              </w:rPr>
              <w:t>3</w:t>
            </w:r>
          </w:p>
        </w:tc>
        <w:tc>
          <w:tcPr>
            <w:tcW w:w="397" w:type="pct"/>
            <w:vAlign w:val="center"/>
          </w:tcPr>
          <w:p w:rsidR="00301C02" w:rsidRPr="00FA577A" w:rsidRDefault="00711FA2" w:rsidP="00834D94">
            <w:pPr>
              <w:jc w:val="center"/>
              <w:rPr>
                <w:sz w:val="24"/>
                <w:szCs w:val="24"/>
              </w:rPr>
            </w:pPr>
            <w:r>
              <w:rPr>
                <w:sz w:val="24"/>
                <w:szCs w:val="24"/>
              </w:rPr>
              <w:t>80</w:t>
            </w:r>
          </w:p>
        </w:tc>
        <w:tc>
          <w:tcPr>
            <w:tcW w:w="835" w:type="pct"/>
            <w:vAlign w:val="center"/>
          </w:tcPr>
          <w:p w:rsidR="00301C02" w:rsidRPr="00FA577A" w:rsidRDefault="00301C02" w:rsidP="00834D94">
            <w:pPr>
              <w:jc w:val="center"/>
              <w:rPr>
                <w:sz w:val="24"/>
                <w:szCs w:val="24"/>
              </w:rPr>
            </w:pPr>
            <w:r>
              <w:rPr>
                <w:sz w:val="24"/>
                <w:szCs w:val="24"/>
              </w:rPr>
              <w:t>350,00</w:t>
            </w:r>
          </w:p>
        </w:tc>
        <w:tc>
          <w:tcPr>
            <w:tcW w:w="974" w:type="pct"/>
            <w:vAlign w:val="center"/>
          </w:tcPr>
          <w:p w:rsidR="00301C02" w:rsidRDefault="00301C02" w:rsidP="00834D94">
            <w:pPr>
              <w:jc w:val="center"/>
              <w:rPr>
                <w:sz w:val="24"/>
                <w:szCs w:val="24"/>
              </w:rPr>
            </w:pPr>
          </w:p>
          <w:p w:rsidR="00301C02" w:rsidRPr="00FA577A" w:rsidRDefault="00301C02" w:rsidP="00834D94">
            <w:pPr>
              <w:jc w:val="center"/>
              <w:rPr>
                <w:sz w:val="24"/>
                <w:szCs w:val="24"/>
              </w:rPr>
            </w:pPr>
          </w:p>
        </w:tc>
        <w:tc>
          <w:tcPr>
            <w:tcW w:w="981" w:type="pct"/>
            <w:vAlign w:val="center"/>
          </w:tcPr>
          <w:p w:rsidR="00301C02" w:rsidRPr="00FA577A" w:rsidRDefault="00301C02" w:rsidP="00834D94">
            <w:pPr>
              <w:jc w:val="center"/>
              <w:rPr>
                <w:sz w:val="24"/>
                <w:szCs w:val="24"/>
              </w:rPr>
            </w:pPr>
          </w:p>
        </w:tc>
      </w:tr>
      <w:tr w:rsidR="00301C02" w:rsidRPr="00FA577A" w:rsidTr="00301C02">
        <w:tc>
          <w:tcPr>
            <w:tcW w:w="749" w:type="pct"/>
            <w:vMerge/>
            <w:vAlign w:val="center"/>
          </w:tcPr>
          <w:p w:rsidR="00301C02" w:rsidRPr="00FA577A" w:rsidRDefault="00301C02" w:rsidP="00834D94">
            <w:pPr>
              <w:jc w:val="center"/>
              <w:rPr>
                <w:sz w:val="24"/>
                <w:szCs w:val="24"/>
              </w:rPr>
            </w:pPr>
          </w:p>
        </w:tc>
        <w:tc>
          <w:tcPr>
            <w:tcW w:w="683" w:type="pct"/>
            <w:vAlign w:val="center"/>
          </w:tcPr>
          <w:p w:rsidR="00301C02" w:rsidRPr="00FA577A" w:rsidRDefault="00301C02" w:rsidP="00834D94">
            <w:pPr>
              <w:jc w:val="center"/>
              <w:rPr>
                <w:sz w:val="24"/>
                <w:szCs w:val="24"/>
              </w:rPr>
            </w:pPr>
            <w:r w:rsidRPr="00FA577A">
              <w:rPr>
                <w:sz w:val="24"/>
                <w:szCs w:val="24"/>
              </w:rPr>
              <w:t>II</w:t>
            </w:r>
          </w:p>
        </w:tc>
        <w:tc>
          <w:tcPr>
            <w:tcW w:w="382" w:type="pct"/>
            <w:vAlign w:val="center"/>
          </w:tcPr>
          <w:p w:rsidR="00301C02" w:rsidRPr="00FA577A" w:rsidRDefault="00301C02" w:rsidP="00834D94">
            <w:pPr>
              <w:jc w:val="center"/>
              <w:rPr>
                <w:sz w:val="24"/>
                <w:szCs w:val="24"/>
              </w:rPr>
            </w:pPr>
            <w:r w:rsidRPr="00FA577A">
              <w:rPr>
                <w:bCs/>
                <w:sz w:val="24"/>
                <w:szCs w:val="24"/>
                <w:lang w:val="hr-BA" w:eastAsia="hr-BA"/>
              </w:rPr>
              <w:t>m</w:t>
            </w:r>
            <w:r w:rsidRPr="00FA577A">
              <w:rPr>
                <w:bCs/>
                <w:sz w:val="24"/>
                <w:szCs w:val="24"/>
                <w:vertAlign w:val="superscript"/>
                <w:lang w:val="hr-BA" w:eastAsia="hr-BA"/>
              </w:rPr>
              <w:t>3</w:t>
            </w:r>
          </w:p>
        </w:tc>
        <w:tc>
          <w:tcPr>
            <w:tcW w:w="397" w:type="pct"/>
            <w:vAlign w:val="center"/>
          </w:tcPr>
          <w:p w:rsidR="00301C02" w:rsidRPr="00FA577A" w:rsidRDefault="00711FA2" w:rsidP="00834D94">
            <w:pPr>
              <w:jc w:val="center"/>
              <w:rPr>
                <w:sz w:val="24"/>
                <w:szCs w:val="24"/>
              </w:rPr>
            </w:pPr>
            <w:r>
              <w:rPr>
                <w:sz w:val="24"/>
                <w:szCs w:val="24"/>
              </w:rPr>
              <w:t>100</w:t>
            </w:r>
          </w:p>
        </w:tc>
        <w:tc>
          <w:tcPr>
            <w:tcW w:w="835" w:type="pct"/>
            <w:vAlign w:val="center"/>
          </w:tcPr>
          <w:p w:rsidR="00301C02" w:rsidRPr="00FA577A" w:rsidRDefault="00301C02" w:rsidP="00834D94">
            <w:pPr>
              <w:jc w:val="center"/>
              <w:rPr>
                <w:sz w:val="24"/>
                <w:szCs w:val="24"/>
              </w:rPr>
            </w:pPr>
            <w:r>
              <w:rPr>
                <w:sz w:val="24"/>
                <w:szCs w:val="24"/>
              </w:rPr>
              <w:t>250,00</w:t>
            </w:r>
          </w:p>
        </w:tc>
        <w:tc>
          <w:tcPr>
            <w:tcW w:w="974" w:type="pct"/>
            <w:vAlign w:val="center"/>
          </w:tcPr>
          <w:p w:rsidR="00301C02" w:rsidRDefault="00301C02" w:rsidP="00834D94">
            <w:pPr>
              <w:jc w:val="center"/>
              <w:rPr>
                <w:sz w:val="24"/>
                <w:szCs w:val="24"/>
              </w:rPr>
            </w:pPr>
          </w:p>
          <w:p w:rsidR="00301C02" w:rsidRPr="00FA577A" w:rsidRDefault="00301C02" w:rsidP="00834D94">
            <w:pPr>
              <w:jc w:val="center"/>
              <w:rPr>
                <w:sz w:val="24"/>
                <w:szCs w:val="24"/>
              </w:rPr>
            </w:pPr>
          </w:p>
        </w:tc>
        <w:tc>
          <w:tcPr>
            <w:tcW w:w="981" w:type="pct"/>
            <w:vAlign w:val="center"/>
          </w:tcPr>
          <w:p w:rsidR="00301C02" w:rsidRPr="00FA577A" w:rsidRDefault="00301C02" w:rsidP="00834D94">
            <w:pPr>
              <w:jc w:val="center"/>
              <w:rPr>
                <w:sz w:val="24"/>
                <w:szCs w:val="24"/>
              </w:rPr>
            </w:pPr>
          </w:p>
        </w:tc>
      </w:tr>
      <w:tr w:rsidR="00301C02" w:rsidRPr="00FA577A" w:rsidTr="00301C02">
        <w:tc>
          <w:tcPr>
            <w:tcW w:w="749" w:type="pct"/>
            <w:vMerge/>
            <w:vAlign w:val="center"/>
          </w:tcPr>
          <w:p w:rsidR="00301C02" w:rsidRPr="00FA577A" w:rsidRDefault="00301C02" w:rsidP="00834D94">
            <w:pPr>
              <w:jc w:val="center"/>
              <w:rPr>
                <w:sz w:val="24"/>
                <w:szCs w:val="24"/>
              </w:rPr>
            </w:pPr>
          </w:p>
        </w:tc>
        <w:tc>
          <w:tcPr>
            <w:tcW w:w="683" w:type="pct"/>
            <w:vAlign w:val="center"/>
          </w:tcPr>
          <w:p w:rsidR="00301C02" w:rsidRPr="00FA577A" w:rsidRDefault="00301C02" w:rsidP="00834D94">
            <w:pPr>
              <w:jc w:val="center"/>
              <w:rPr>
                <w:sz w:val="24"/>
                <w:szCs w:val="24"/>
              </w:rPr>
            </w:pPr>
            <w:r w:rsidRPr="00FA577A">
              <w:rPr>
                <w:sz w:val="24"/>
                <w:szCs w:val="24"/>
              </w:rPr>
              <w:t>III</w:t>
            </w:r>
          </w:p>
        </w:tc>
        <w:tc>
          <w:tcPr>
            <w:tcW w:w="382" w:type="pct"/>
            <w:vAlign w:val="center"/>
          </w:tcPr>
          <w:p w:rsidR="00301C02" w:rsidRPr="00FA577A" w:rsidRDefault="00301C02" w:rsidP="00834D94">
            <w:pPr>
              <w:jc w:val="center"/>
              <w:rPr>
                <w:sz w:val="24"/>
                <w:szCs w:val="24"/>
              </w:rPr>
            </w:pPr>
            <w:r w:rsidRPr="00FA577A">
              <w:rPr>
                <w:bCs/>
                <w:sz w:val="24"/>
                <w:szCs w:val="24"/>
                <w:lang w:val="hr-BA" w:eastAsia="hr-BA"/>
              </w:rPr>
              <w:t>m</w:t>
            </w:r>
            <w:r w:rsidRPr="00FA577A">
              <w:rPr>
                <w:bCs/>
                <w:sz w:val="24"/>
                <w:szCs w:val="24"/>
                <w:vertAlign w:val="superscript"/>
                <w:lang w:val="hr-BA" w:eastAsia="hr-BA"/>
              </w:rPr>
              <w:t>3</w:t>
            </w:r>
          </w:p>
        </w:tc>
        <w:tc>
          <w:tcPr>
            <w:tcW w:w="397" w:type="pct"/>
            <w:vAlign w:val="center"/>
          </w:tcPr>
          <w:p w:rsidR="00301C02" w:rsidRPr="00FA577A" w:rsidRDefault="00711FA2" w:rsidP="00834D94">
            <w:pPr>
              <w:jc w:val="center"/>
              <w:rPr>
                <w:sz w:val="24"/>
                <w:szCs w:val="24"/>
              </w:rPr>
            </w:pPr>
            <w:r>
              <w:rPr>
                <w:sz w:val="24"/>
                <w:szCs w:val="24"/>
              </w:rPr>
              <w:t>120</w:t>
            </w:r>
          </w:p>
        </w:tc>
        <w:tc>
          <w:tcPr>
            <w:tcW w:w="835" w:type="pct"/>
            <w:vAlign w:val="center"/>
          </w:tcPr>
          <w:p w:rsidR="00301C02" w:rsidRPr="00FA577A" w:rsidRDefault="00301C02" w:rsidP="00834D94">
            <w:pPr>
              <w:jc w:val="center"/>
              <w:rPr>
                <w:sz w:val="24"/>
                <w:szCs w:val="24"/>
              </w:rPr>
            </w:pPr>
            <w:r>
              <w:rPr>
                <w:sz w:val="24"/>
                <w:szCs w:val="24"/>
              </w:rPr>
              <w:t>200,00</w:t>
            </w:r>
          </w:p>
        </w:tc>
        <w:tc>
          <w:tcPr>
            <w:tcW w:w="974" w:type="pct"/>
            <w:vAlign w:val="center"/>
          </w:tcPr>
          <w:p w:rsidR="00301C02" w:rsidRDefault="00301C02" w:rsidP="00834D94">
            <w:pPr>
              <w:jc w:val="center"/>
              <w:rPr>
                <w:sz w:val="24"/>
                <w:szCs w:val="24"/>
              </w:rPr>
            </w:pPr>
          </w:p>
          <w:p w:rsidR="00301C02" w:rsidRPr="00FA577A" w:rsidRDefault="00301C02" w:rsidP="00834D94">
            <w:pPr>
              <w:jc w:val="center"/>
              <w:rPr>
                <w:sz w:val="24"/>
                <w:szCs w:val="24"/>
              </w:rPr>
            </w:pPr>
          </w:p>
        </w:tc>
        <w:tc>
          <w:tcPr>
            <w:tcW w:w="981" w:type="pct"/>
            <w:vAlign w:val="center"/>
          </w:tcPr>
          <w:p w:rsidR="00301C02" w:rsidRPr="00FA577A" w:rsidRDefault="00301C02" w:rsidP="00834D94">
            <w:pPr>
              <w:jc w:val="center"/>
              <w:rPr>
                <w:sz w:val="24"/>
                <w:szCs w:val="24"/>
              </w:rPr>
            </w:pPr>
          </w:p>
        </w:tc>
      </w:tr>
      <w:tr w:rsidR="00301C02" w:rsidRPr="00FA577A" w:rsidTr="00301C02">
        <w:tc>
          <w:tcPr>
            <w:tcW w:w="1814" w:type="pct"/>
            <w:gridSpan w:val="3"/>
            <w:vAlign w:val="center"/>
          </w:tcPr>
          <w:p w:rsidR="00301C02" w:rsidRPr="00FA577A" w:rsidRDefault="00301C02" w:rsidP="00834D94">
            <w:pPr>
              <w:jc w:val="center"/>
              <w:rPr>
                <w:sz w:val="24"/>
                <w:szCs w:val="24"/>
              </w:rPr>
            </w:pPr>
            <w:r w:rsidRPr="00FA577A">
              <w:rPr>
                <w:sz w:val="24"/>
                <w:szCs w:val="24"/>
              </w:rPr>
              <w:t>U K U P N O</w:t>
            </w:r>
          </w:p>
        </w:tc>
        <w:tc>
          <w:tcPr>
            <w:tcW w:w="397" w:type="pct"/>
            <w:vAlign w:val="center"/>
          </w:tcPr>
          <w:p w:rsidR="00301C02" w:rsidRPr="00FA577A" w:rsidRDefault="00711FA2" w:rsidP="00834D94">
            <w:pPr>
              <w:jc w:val="center"/>
              <w:rPr>
                <w:sz w:val="24"/>
                <w:szCs w:val="24"/>
              </w:rPr>
            </w:pPr>
            <w:r>
              <w:rPr>
                <w:sz w:val="24"/>
                <w:szCs w:val="24"/>
              </w:rPr>
              <w:t>300</w:t>
            </w:r>
          </w:p>
        </w:tc>
        <w:tc>
          <w:tcPr>
            <w:tcW w:w="835" w:type="pct"/>
            <w:vAlign w:val="center"/>
          </w:tcPr>
          <w:p w:rsidR="00301C02" w:rsidRPr="00FA577A" w:rsidRDefault="00711FA2" w:rsidP="00834D94">
            <w:pPr>
              <w:jc w:val="center"/>
              <w:rPr>
                <w:sz w:val="24"/>
                <w:szCs w:val="24"/>
              </w:rPr>
            </w:pPr>
            <w:r>
              <w:rPr>
                <w:sz w:val="24"/>
                <w:szCs w:val="24"/>
              </w:rPr>
              <w:t>77 000,00</w:t>
            </w:r>
          </w:p>
        </w:tc>
        <w:tc>
          <w:tcPr>
            <w:tcW w:w="974" w:type="pct"/>
            <w:vAlign w:val="center"/>
          </w:tcPr>
          <w:p w:rsidR="00301C02" w:rsidRDefault="00301C02" w:rsidP="00834D94">
            <w:pPr>
              <w:jc w:val="center"/>
              <w:rPr>
                <w:sz w:val="24"/>
                <w:szCs w:val="24"/>
              </w:rPr>
            </w:pPr>
          </w:p>
          <w:p w:rsidR="00301C02" w:rsidRPr="00FA577A" w:rsidRDefault="00301C02" w:rsidP="00834D94">
            <w:pPr>
              <w:jc w:val="center"/>
              <w:rPr>
                <w:sz w:val="24"/>
                <w:szCs w:val="24"/>
              </w:rPr>
            </w:pPr>
          </w:p>
        </w:tc>
        <w:tc>
          <w:tcPr>
            <w:tcW w:w="981" w:type="pct"/>
            <w:vAlign w:val="center"/>
          </w:tcPr>
          <w:p w:rsidR="00301C02" w:rsidRPr="00FA577A" w:rsidRDefault="00301C02" w:rsidP="00834D94">
            <w:pPr>
              <w:jc w:val="center"/>
              <w:rPr>
                <w:sz w:val="24"/>
                <w:szCs w:val="24"/>
              </w:rPr>
            </w:pPr>
          </w:p>
        </w:tc>
      </w:tr>
    </w:tbl>
    <w:p w:rsidR="00301C02" w:rsidRDefault="00301C02">
      <w:pPr>
        <w:suppressAutoHyphens/>
        <w:spacing w:after="0" w:line="240" w:lineRule="auto"/>
        <w:jc w:val="center"/>
        <w:rPr>
          <w:rFonts w:ascii="Times New Roman" w:eastAsia="Times New Roman" w:hAnsi="Times New Roman" w:cs="Times New Roman"/>
          <w:b/>
          <w:i/>
          <w:sz w:val="24"/>
        </w:rPr>
      </w:pPr>
    </w:p>
    <w:sectPr w:rsidR="00301C02" w:rsidSect="00985E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C059E"/>
    <w:multiLevelType w:val="multilevel"/>
    <w:tmpl w:val="D02A8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2B72E9"/>
    <w:multiLevelType w:val="multilevel"/>
    <w:tmpl w:val="468A6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8C067D"/>
    <w:multiLevelType w:val="multilevel"/>
    <w:tmpl w:val="23361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BB2A37"/>
    <w:multiLevelType w:val="multilevel"/>
    <w:tmpl w:val="527A6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7107"/>
    <w:rsid w:val="00007BB4"/>
    <w:rsid w:val="00143B17"/>
    <w:rsid w:val="002101C1"/>
    <w:rsid w:val="00226560"/>
    <w:rsid w:val="00284486"/>
    <w:rsid w:val="002B19E9"/>
    <w:rsid w:val="00301C02"/>
    <w:rsid w:val="003611FA"/>
    <w:rsid w:val="004045BC"/>
    <w:rsid w:val="00475FFB"/>
    <w:rsid w:val="00480578"/>
    <w:rsid w:val="00596215"/>
    <w:rsid w:val="00631FF1"/>
    <w:rsid w:val="00711FA2"/>
    <w:rsid w:val="00714643"/>
    <w:rsid w:val="00841040"/>
    <w:rsid w:val="00894B81"/>
    <w:rsid w:val="00985E36"/>
    <w:rsid w:val="009C7107"/>
    <w:rsid w:val="009D760A"/>
    <w:rsid w:val="00BF24B5"/>
    <w:rsid w:val="00C07AB9"/>
    <w:rsid w:val="00CC11C2"/>
    <w:rsid w:val="00CF674B"/>
    <w:rsid w:val="00D6734B"/>
    <w:rsid w:val="00F12EE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C02"/>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BodyTextChar">
    <w:name w:val="Body Text Char"/>
    <w:basedOn w:val="DefaultParagraphFont"/>
    <w:link w:val="BodyText"/>
    <w:rsid w:val="00301C02"/>
    <w:rPr>
      <w:rFonts w:ascii="Times New Roman" w:eastAsia="Times New Roman" w:hAnsi="Times New Roman" w:cs="Times New Roman"/>
      <w:b/>
      <w:sz w:val="28"/>
      <w:szCs w:val="20"/>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1346</Words>
  <Characters>7678</Characters>
  <Application>Microsoft Office Word</Application>
  <DocSecurity>0</DocSecurity>
  <Lines>63</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Hikmet</cp:lastModifiedBy>
  <cp:revision>17</cp:revision>
  <dcterms:created xsi:type="dcterms:W3CDTF">2018-04-27T07:05:00Z</dcterms:created>
  <dcterms:modified xsi:type="dcterms:W3CDTF">2018-10-12T06:49:00Z</dcterms:modified>
</cp:coreProperties>
</file>